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8600"/>
        <w:gridCol w:w="1840"/>
      </w:tblGrid>
      <w:tr>
        <w:tc>
          <w:tcPr>
            <w:tcW w:type="dxa" w:w="8600"/>
            <w:tcBorders>
              <w:top w:val="none"/>
              <w:left w:val="none"/>
              <w:bottom w:val="none"/>
              <w:right w:val="none"/>
            </w:tcBorders>
            <w:tcMar>
              <w:top w:type="dxa" w:w="0"/>
              <w:left w:type="dxa" w:w="0"/>
              <w:bottom w:type="dxa" w:w="0"/>
              <w:right w:type="dxa" w:w="0"/>
            </w:tcMar>
            <w:vAlign w:val="center"/>
          </w:tcPr>
          <w:p>
            <w:pPr>
              <w:spacing w:after="0"/>
            </w:pPr>
            <w:r>
              <w:rPr>
                <w:rFonts w:ascii="Arial" w:cs="Arial" w:eastAsia="Arial" w:hAnsi="Arial"/>
                <w:b/>
                <w:bCs/>
                <w:color w:val="1B7A43"/>
                <w:sz w:val="26"/>
                <w:szCs w:val="26"/>
              </w:rPr>
              <w:t xml:space="preserve">VALLEY VIEW</w:t>
            </w:r>
          </w:p>
          <w:p>
            <w:pPr>
              <w:spacing w:after="0"/>
            </w:pPr>
            <w:r>
              <w:rPr>
                <w:rFonts w:ascii="Arial" w:cs="Arial" w:eastAsia="Arial" w:hAnsi="Arial"/>
                <w:color w:val="555555"/>
                <w:sz w:val="17"/>
                <w:szCs w:val="17"/>
              </w:rPr>
              <w:t xml:space="preserve">Aashish Kabra, MD  ·  Rocky Mountain Urology Center at Valley View Hospital</w:t>
            </w:r>
          </w:p>
          <w:p>
            <w:pPr>
              <w:spacing w:after="0"/>
            </w:pPr>
            <w:hyperlink w:history="1" r:id="rIdqyzua5kfxmeawqfu6kwwy">
              <w:r>
                <w:rPr>
                  <w:rFonts w:ascii="Arial" w:cs="Arial" w:eastAsia="Arial" w:hAnsi="Arial"/>
                  <w:b/>
                  <w:bCs/>
                  <w:color w:val="1B7A43"/>
                  <w:sz w:val="17"/>
                  <w:szCs w:val="17"/>
                </w:rPr>
                <w:t xml:space="preserve">rockymountainurology.com</w:t>
              </w:r>
            </w:hyperlink>
          </w:p>
        </w:tc>
        <w:tc>
          <w:tcPr>
            <w:tcW w:type="dxa" w:w="1840"/>
            <w:tcBorders>
              <w:top w:val="none"/>
              <w:left w:val="none"/>
              <w:bottom w:val="none"/>
              <w:right w:val="none"/>
            </w:tcBorders>
            <w:tcMar>
              <w:top w:type="dxa" w:w="0"/>
              <w:left w:type="dxa" w:w="0"/>
              <w:bottom w:type="dxa" w:w="0"/>
              <w:right w:type="dxa" w:w="0"/>
            </w:tcMar>
            <w:vAlign w:val="center"/>
          </w:tcPr>
          <w:p>
            <w:pPr>
              <w:spacing w:after="0"/>
              <w:jc w:val="right"/>
            </w:pPr>
            <w:r>
              <w:drawing>
                <wp:inline distT="0" distB="0" distL="0" distR="0">
                  <wp:extent cx="800100" cy="800100"/>
                  <wp:effectExtent t="0" r="0" b="0" l="0"/>
                  <wp:docPr id="1" name="qr" descr="rockymountainurology.com" title="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00100" cy="800100"/>
                          </a:xfrm>
                          <a:prstGeom prst="rect">
                            <a:avLst/>
                          </a:prstGeom>
                        </pic:spPr>
                      </pic:pic>
                    </a:graphicData>
                  </a:graphic>
                </wp:inline>
              </w:drawing>
            </w:r>
          </w:p>
          <w:p>
            <w:pPr>
              <w:spacing w:after="0"/>
              <w:jc w:val="right"/>
            </w:pPr>
            <w:r>
              <w:rPr>
                <w:rFonts w:ascii="Arial" w:cs="Arial" w:eastAsia="Arial" w:hAnsi="Arial"/>
                <w:i/>
                <w:iCs/>
                <w:color w:val="555555"/>
                <w:sz w:val="13"/>
                <w:szCs w:val="13"/>
              </w:rPr>
              <w:t xml:space="preserve">Scan for our website</w:t>
            </w:r>
          </w:p>
        </w:tc>
      </w:tr>
    </w:tbl>
    <w:p>
      <w:pPr>
        <w:pBdr>
          <w:bottom w:val="single" w:color="1B7A43" w:sz="10" w:space="1"/>
        </w:pBdr>
        <w:spacing w:after="30" w:before="60"/>
      </w:pPr>
      <w:r>
        <w:rPr>
          <w:rFonts w:ascii="Arial" w:cs="Arial" w:eastAsia="Arial" w:hAnsi="Arial"/>
          <w:b/>
          <w:bCs/>
          <w:color w:val="000000"/>
          <w:sz w:val="26"/>
          <w:szCs w:val="26"/>
        </w:rPr>
        <w:t xml:space="preserve">Kidney Stone Prevention Diet</w:t>
      </w:r>
    </w:p>
    <w:p>
      <w:pPr>
        <w:spacing w:after="28" w:line="206"/>
      </w:pPr>
      <w:r>
        <w:rPr>
          <w:rFonts w:ascii="Arial" w:cs="Arial" w:eastAsia="Arial" w:hAnsi="Arial"/>
          <w:i/>
          <w:iCs/>
          <w:color w:val="555555"/>
          <w:sz w:val="17"/>
          <w:szCs w:val="17"/>
        </w:rPr>
        <w:t xml:space="preserve">The foods you choose each day can affect your risk of recurrent kidney stone formation. We recommend that you follow a basic stone prevention diet. This diet considers several common dietary influences of stone formation. Use the information below as a guide to changing your diet.</w:t>
      </w:r>
    </w:p>
    <w:p>
      <w:pPr>
        <w:pBdr>
          <w:bottom w:val="single" w:color="1B7A43" w:sz="6" w:space="1"/>
        </w:pBdr>
        <w:spacing w:after="22" w:before="66"/>
      </w:pPr>
      <w:r>
        <w:rPr>
          <w:rFonts w:ascii="Arial" w:cs="Arial" w:eastAsia="Arial" w:hAnsi="Arial"/>
          <w:b/>
          <w:bCs/>
          <w:color w:val="12592F"/>
          <w:sz w:val="21"/>
          <w:szCs w:val="21"/>
        </w:rPr>
        <w:t xml:space="preserve">Increase Fluid</w:t>
      </w:r>
    </w:p>
    <w:p>
      <w:pPr>
        <w:spacing w:after="40" w:line="206"/>
      </w:pPr>
      <w:r>
        <w:rPr>
          <w:rFonts w:ascii="Arial" w:cs="Arial" w:eastAsia="Arial" w:hAnsi="Arial"/>
          <w:sz w:val="17"/>
          <w:szCs w:val="17"/>
        </w:rPr>
        <w:t xml:space="preserve">Consuming adequate fluid on a daily basis is very important to reduce your risk of kidney stone formation. Be sure to consume 2.5-3 liters of fluid daily and drink at least 8 ounces of fluid before going to bed at night. Consider the following points when working to increase your fluid intake. Your goal is 2.5-3 liters of non-caffeinated fluid each day.</w:t>
      </w:r>
    </w:p>
    <w:p>
      <w:pPr>
        <w:spacing w:after="40" w:line="206"/>
      </w:pPr>
      <w:r>
        <w:rPr>
          <w:rFonts w:ascii="Arial" w:cs="Arial" w:eastAsia="Arial" w:hAnsi="Arial"/>
          <w:sz w:val="17"/>
          <w:szCs w:val="17"/>
        </w:rPr>
        <w:t xml:space="preserve">Anything that is liquid at room temperature contributes to your total fluid intake. Drinking water is the best way to stay hydrated but you may also consider drinking lemonade, limeade, or adding fresh lemon to your water. These fluids contain citrate, which helps prevent some forms of kidney stones. To increase your daily fluid intake, keep a bottle of water with you at all times. Coconut water is also a good alternative, and carbonated water for taste can help increase your overall consumption if you do not enjoy water. Avoid large volumes of soda intake because high fructose corn syrup (even found in foods) can contribute to stones.</w:t>
      </w:r>
    </w:p>
    <w:p>
      <w:pPr>
        <w:pBdr>
          <w:bottom w:val="single" w:color="1B7A43" w:sz="6" w:space="1"/>
        </w:pBdr>
        <w:spacing w:after="22" w:before="66"/>
      </w:pPr>
      <w:r>
        <w:rPr>
          <w:rFonts w:ascii="Arial" w:cs="Arial" w:eastAsia="Arial" w:hAnsi="Arial"/>
          <w:b/>
          <w:bCs/>
          <w:color w:val="12592F"/>
          <w:sz w:val="21"/>
          <w:szCs w:val="21"/>
        </w:rPr>
        <w:t xml:space="preserve">Normal Calcium</w:t>
      </w:r>
    </w:p>
    <w:p>
      <w:pPr>
        <w:spacing w:after="40" w:line="206"/>
      </w:pPr>
      <w:r>
        <w:rPr>
          <w:rFonts w:ascii="Arial" w:cs="Arial" w:eastAsia="Arial" w:hAnsi="Arial"/>
          <w:sz w:val="17"/>
          <w:szCs w:val="17"/>
        </w:rPr>
        <w:t xml:space="preserve">When trying to prevent kidney stones, it is important that you consume a normal amount of calcium. Both low and high calcium diets can cause kidney stones. Adequate calcium intake is 1,000 mg/day for those ages 19-50 and 1,200 mg for those ages 50 and over. Food labels will give you a more accurate report of the calcium content per serving of food consumed.</w:t>
      </w:r>
    </w:p>
    <w:p>
      <w:pPr>
        <w:spacing w:after="40" w:line="206"/>
      </w:pPr>
      <w:r>
        <w:rPr>
          <w:rFonts w:ascii="Arial" w:cs="Arial" w:eastAsia="Arial" w:hAnsi="Arial"/>
          <w:sz w:val="17"/>
          <w:szCs w:val="17"/>
        </w:rPr>
        <w:t xml:space="preserve">Remember that food labels use 1000 mg of calcium as the reference intake. If a food offers 20% of the Daily Value for calcium it provides 200 mg per serving. If you have been recommended calcium or vitamin D supplements by another doctor, it is okay to continue them and we can optimize your urine through other ways such as medication. Calcium citrate with meals is typically recommended if you do need a supplement.</w:t>
      </w:r>
    </w:p>
    <w:p>
      <w:pPr>
        <w:pBdr>
          <w:bottom w:val="single" w:color="1B7A43" w:sz="6" w:space="1"/>
        </w:pBdr>
        <w:spacing w:after="22" w:before="66"/>
      </w:pPr>
      <w:r>
        <w:rPr>
          <w:rFonts w:ascii="Arial" w:cs="Arial" w:eastAsia="Arial" w:hAnsi="Arial"/>
          <w:b/>
          <w:bCs/>
          <w:color w:val="12592F"/>
          <w:sz w:val="21"/>
          <w:szCs w:val="21"/>
        </w:rPr>
        <w:t xml:space="preserve">Decrease Sodium / Salt</w:t>
      </w:r>
    </w:p>
    <w:p>
      <w:pPr>
        <w:spacing w:after="40" w:line="206"/>
      </w:pPr>
      <w:r>
        <w:rPr>
          <w:rFonts w:ascii="Arial" w:cs="Arial" w:eastAsia="Arial" w:hAnsi="Arial"/>
          <w:sz w:val="17"/>
          <w:szCs w:val="17"/>
        </w:rPr>
        <w:t xml:space="preserve">Most Americans consume over two times the amount of sodium they should on a day-to-day basis. When trying to prevent kidney stone formation it is important to limit your salt intake (goal: &lt;2,300 mg/day which is a teaspoon of salt). You can try the following: Use fresh or dried herbs, spices, and lemon juice to season foods. Avoid those seasonings that have salt in them such as garlic salt or celery salt. Read labels carefully. Some words to avoid include: salt, sodium chloride, monosodium glutamate (MSG), cured, brined, corned, pickled, and smoked. Limit your intake of luncheon meats, cheeses, frozen dinners, canned soups, and fast foods. These food items contain large amounts of sodium. Watch your use of condiments, as many are high in sodium including: marinades, soy sauce, tartar sauce, teriyaki sauce, gravy mixes, salad dressings, barbeque sauce, hot sauce, and steak sauce. Avoid obvious sources of concentrated sodium such as highly salted snack foods, salted crackers, and salted nuts.</w:t>
      </w:r>
    </w:p>
    <w:p>
      <w:pPr>
        <w:pBdr>
          <w:bottom w:val="single" w:color="1B7A43" w:sz="6" w:space="1"/>
        </w:pBdr>
        <w:spacing w:after="22" w:before="66"/>
      </w:pPr>
      <w:r>
        <w:rPr>
          <w:rFonts w:ascii="Arial" w:cs="Arial" w:eastAsia="Arial" w:hAnsi="Arial"/>
          <w:b/>
          <w:bCs/>
          <w:color w:val="12592F"/>
          <w:sz w:val="21"/>
          <w:szCs w:val="21"/>
        </w:rPr>
        <w:t xml:space="preserve">Increase Citric Acid</w:t>
      </w:r>
    </w:p>
    <w:p>
      <w:pPr>
        <w:spacing w:after="40" w:line="206"/>
      </w:pPr>
      <w:r>
        <w:rPr>
          <w:rFonts w:ascii="Arial" w:cs="Arial" w:eastAsia="Arial" w:hAnsi="Arial"/>
          <w:sz w:val="17"/>
          <w:szCs w:val="17"/>
        </w:rPr>
        <w:t xml:space="preserve">Citrus juices, including lemon juice and orange juice, contain citrate, which acts as a stone inhibitor for calcium-based stones. Citrate seems to do this by binding calcium, making it unavailable to combine with oxalate or phosphate: a necessary first step in the formation of stones. Citrate also seems to make it more difficult for stones to grow once they’ve formed.</w:t>
      </w:r>
    </w:p>
    <w:p>
      <w:pPr>
        <w:spacing w:after="40" w:line="206"/>
      </w:pPr>
      <w:r>
        <w:rPr>
          <w:rFonts w:ascii="Arial" w:cs="Arial" w:eastAsia="Arial" w:hAnsi="Arial"/>
          <w:sz w:val="17"/>
          <w:szCs w:val="17"/>
        </w:rPr>
        <w:t xml:space="preserve">Drinking citrus juice in the form of concentrated lemon juice mixed with water has been shown to effectively increase urinary citrate levels and reduce urinary calcium levels, both of which will reduce stone risk. Orange juice will similarly increase urinary citrate levels. However, orange juice appears to also increase urinary oxalate levels (a stone promoter). Therefore, lemon juice is typically favored over other citrus juices as a natural method to increase urinary citrate levels. We recommend that stone formers consider supplementing their daily fluid intake with a mixture of 60 ml of concentrated lemon juice in one liter of water to increase their urinary citrate levels. </w:t>
      </w:r>
      <w:r>
        <w:rPr>
          <w:rFonts w:ascii="Arial" w:cs="Arial" w:eastAsia="Arial" w:hAnsi="Arial"/>
          <w:b/>
          <w:bCs/>
          <w:sz w:val="17"/>
          <w:szCs w:val="17"/>
        </w:rPr>
        <w:t xml:space="preserve">Crystal Light</w:t>
      </w:r>
      <w:r>
        <w:rPr>
          <w:rFonts w:ascii="Arial" w:cs="Arial" w:eastAsia="Arial" w:hAnsi="Arial"/>
          <w:sz w:val="17"/>
          <w:szCs w:val="17"/>
        </w:rPr>
        <w:t xml:space="preserve"> and clear sports drinks are also excellent sources of citrate supplementation. Helpful over-the-counter citrate supplements include the powders at </w:t>
      </w:r>
      <w:r>
        <w:rPr>
          <w:rFonts w:ascii="Arial" w:cs="Arial" w:eastAsia="Arial" w:hAnsi="Arial"/>
          <w:b/>
          <w:bCs/>
          <w:sz w:val="17"/>
          <w:szCs w:val="17"/>
        </w:rPr>
        <w:t xml:space="preserve">litholyte.com</w:t>
      </w:r>
      <w:r>
        <w:rPr>
          <w:rFonts w:ascii="Arial" w:cs="Arial" w:eastAsia="Arial" w:hAnsi="Arial"/>
          <w:sz w:val="17"/>
          <w:szCs w:val="17"/>
        </w:rPr>
        <w:t xml:space="preserve">, </w:t>
      </w:r>
      <w:r>
        <w:rPr>
          <w:rFonts w:ascii="Arial" w:cs="Arial" w:eastAsia="Arial" w:hAnsi="Arial"/>
          <w:b/>
          <w:bCs/>
          <w:sz w:val="17"/>
          <w:szCs w:val="17"/>
        </w:rPr>
        <w:t xml:space="preserve">KSP tablets</w:t>
      </w:r>
      <w:r>
        <w:rPr>
          <w:rFonts w:ascii="Arial" w:cs="Arial" w:eastAsia="Arial" w:hAnsi="Arial"/>
          <w:sz w:val="17"/>
          <w:szCs w:val="17"/>
        </w:rPr>
        <w:t xml:space="preserve">, and </w:t>
      </w:r>
      <w:r>
        <w:rPr>
          <w:rFonts w:ascii="Arial" w:cs="Arial" w:eastAsia="Arial" w:hAnsi="Arial"/>
          <w:b/>
          <w:bCs/>
          <w:sz w:val="17"/>
          <w:szCs w:val="17"/>
        </w:rPr>
        <w:t xml:space="preserve">CitraLith from Theralogix</w:t>
      </w:r>
      <w:r>
        <w:rPr>
          <w:rFonts w:ascii="Arial" w:cs="Arial" w:eastAsia="Arial" w:hAnsi="Arial"/>
          <w:sz w:val="17"/>
          <w:szCs w:val="17"/>
        </w:rPr>
        <w:t xml:space="preserve"> (you can use provider referral code 42304 at theralogix.com). I have no financial affiliation with any of these supplement companies. </w:t>
      </w:r>
      <w:r>
        <w:rPr>
          <w:rFonts w:ascii="Arial" w:cs="Arial" w:eastAsia="Arial" w:hAnsi="Arial"/>
          <w:b/>
          <w:bCs/>
          <w:color w:val="12592F"/>
          <w:sz w:val="17"/>
          <w:szCs w:val="17"/>
        </w:rPr>
        <w:t xml:space="preserve">Ask our clinic for free supplements to try</w:t>
      </w:r>
      <w:r>
        <w:rPr>
          <w:rFonts w:ascii="Arial" w:cs="Arial" w:eastAsia="Arial" w:hAnsi="Arial"/>
          <w:sz w:val="17"/>
          <w:szCs w:val="17"/>
        </w:rPr>
        <w:t xml:space="preserve"> before you commit to buying any of them.</w:t>
      </w:r>
    </w:p>
    <w:p>
      <w:pPr>
        <w:pBdr>
          <w:bottom w:val="single" w:color="1B7A43" w:sz="6" w:space="1"/>
        </w:pBdr>
        <w:spacing w:after="22" w:before="66"/>
      </w:pPr>
      <w:r>
        <w:rPr>
          <w:rFonts w:ascii="Arial" w:cs="Arial" w:eastAsia="Arial" w:hAnsi="Arial"/>
          <w:b/>
          <w:bCs/>
          <w:color w:val="12592F"/>
          <w:sz w:val="21"/>
          <w:szCs w:val="21"/>
        </w:rPr>
        <w:t xml:space="preserve">Decrease Animal Protein (red and white meat, fish, and dairy)</w:t>
      </w:r>
    </w:p>
    <w:p>
      <w:pPr>
        <w:spacing w:after="40" w:line="206"/>
      </w:pPr>
      <w:r>
        <w:rPr>
          <w:rFonts w:ascii="Arial" w:cs="Arial" w:eastAsia="Arial" w:hAnsi="Arial"/>
          <w:sz w:val="17"/>
          <w:szCs w:val="17"/>
        </w:rPr>
        <w:t xml:space="preserve">Excess intake of animal protein can contribute to kidney stone formation. When trying to prevent stone reoccurrence, you should limit your intake of animal protein to 6 ounces daily. A portion of meat, the size of a deck of cards or the size of a woman’s palm is approximately 3 ounces of protein. A checkbook is the size of 3 ounces of fish. Breakfast meats and luncheon meats need to be included in this daily quota. In general, a slice of luncheon meat or one slice of cheese is equal to 1 ounce of protein. Restaurant entrees will usually provide more than 6 ounces of meat. Overall, a plant-based diet avoiding animal protein entirely (including dairy) has been shown to maximally reduce risk of kidney stones.</w:t>
      </w:r>
    </w:p>
    <w:p>
      <w:pPr>
        <w:pBdr>
          <w:bottom w:val="single" w:color="1B7A43" w:sz="6" w:space="1"/>
        </w:pBdr>
        <w:spacing w:after="22" w:before="66"/>
      </w:pPr>
      <w:r>
        <w:rPr>
          <w:rFonts w:ascii="Arial" w:cs="Arial" w:eastAsia="Arial" w:hAnsi="Arial"/>
          <w:b/>
          <w:bCs/>
          <w:color w:val="12592F"/>
          <w:sz w:val="21"/>
          <w:szCs w:val="21"/>
        </w:rPr>
        <w:t xml:space="preserve">Oxalate</w:t>
      </w:r>
    </w:p>
    <w:p>
      <w:pPr>
        <w:spacing w:after="0" w:line="206"/>
      </w:pPr>
      <w:r>
        <w:rPr>
          <w:rFonts w:ascii="Arial" w:cs="Arial" w:eastAsia="Arial" w:hAnsi="Arial"/>
          <w:sz w:val="17"/>
          <w:szCs w:val="17"/>
        </w:rPr>
        <w:t xml:space="preserve">You may read about limiting oxalate foods in the diet to prevent kidney stones. Overall, I feel that most of these foods are considered “superfoods” and we derive numerous other health benefits from them. Continue to eat them! I would recommend avoiding dark beverages such as black tea, dark soda, or coffee. Otherwise, your provider will let you know if this needs to be a further area of focus. Oxalate foods that can be maintained unless told otherwise: spinach, mustard greens, beets, rhubarb, okra, berries, chocolate, nuts, sweet potatoes. High oxalate to avoid: black tea, dark drinks such as soda and excessive coffee.</w:t>
      </w:r>
    </w:p>
    <w:p>
      <w:pPr>
        <w:sectPr>
          <w:pgSz w:w="12240" w:h="15840" w:orient="portrait"/>
          <w:pgMar w:top="660" w:right="900" w:bottom="560" w:left="900" w:header="708" w:footer="708" w:gutter="0"/>
          <w:pgNumType/>
          <w:docGrid w:linePitch="360"/>
        </w:sectPr>
      </w:pPr>
    </w:p>
    <w:p>
      <w:pPr>
        <w:pBdr>
          <w:bottom w:val="single" w:color="1B7A43" w:sz="8" w:space="1"/>
        </w:pBdr>
        <w:spacing w:after="16" w:before="42"/>
      </w:pPr>
      <w:r>
        <w:rPr>
          <w:rFonts w:ascii="Arial" w:cs="Arial" w:eastAsia="Arial" w:hAnsi="Arial"/>
          <w:b/>
          <w:bCs/>
          <w:color w:val="000000"/>
          <w:sz w:val="22"/>
          <w:szCs w:val="22"/>
        </w:rPr>
        <w:t xml:space="preserve">Tailoring Your Diet to Your 24-Hour Urine Results</w:t>
      </w:r>
    </w:p>
    <w:p>
      <w:pPr>
        <w:spacing w:after="40" w:line="200"/>
      </w:pPr>
      <w:r>
        <w:rPr>
          <w:rFonts w:ascii="Arial" w:cs="Arial" w:eastAsia="Arial" w:hAnsi="Arial"/>
          <w:i/>
          <w:iCs/>
          <w:color w:val="555555"/>
          <w:sz w:val="15"/>
          <w:szCs w:val="15"/>
        </w:rPr>
        <w:t xml:space="preserve">Your provider may adjust the front-page recommendations based on your 24-hour urine stone-risk profile. This table summarizes those targeted changes.</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1760"/>
        <w:gridCol w:w="4340"/>
        <w:gridCol w:w="4340"/>
      </w:tblGrid>
      <w:tr>
        <w:trPr>
          <w:tblHeader/>
        </w:trPr>
        <w:tc>
          <w:tcPr>
            <w:tcW w:type="dxa" w:w="1760"/>
            <w:tcBorders>
              <w:top w:val="single" w:color="AAAAAA" w:sz="1"/>
              <w:left w:val="single" w:color="AAAAAA" w:sz="1"/>
              <w:bottom w:val="single" w:color="AAAAAA" w:sz="1"/>
              <w:right w:val="single" w:color="AAAAAA" w:sz="1"/>
            </w:tcBorders>
            <w:shd w:fill="1B7A43" w:color="auto" w:val="clear"/>
            <w:tcMar>
              <w:top w:type="dxa" w:w="24"/>
              <w:left w:type="dxa" w:w="90"/>
              <w:bottom w:type="dxa" w:w="24"/>
              <w:right w:type="dxa" w:w="90"/>
            </w:tcMar>
            <w:vAlign w:val="top"/>
          </w:tcPr>
          <w:p>
            <w:pPr>
              <w:spacing w:after="0"/>
              <w:jc w:val="left"/>
            </w:pPr>
            <w:r>
              <w:rPr>
                <w:rFonts w:ascii="Arial" w:cs="Arial" w:eastAsia="Arial" w:hAnsi="Arial"/>
                <w:b/>
                <w:bCs/>
                <w:color w:val="FFFFFF"/>
                <w:sz w:val="15"/>
                <w:szCs w:val="15"/>
              </w:rPr>
              <w:t xml:space="preserve">IF URINE IS…</w:t>
            </w:r>
          </w:p>
        </w:tc>
        <w:tc>
          <w:tcPr>
            <w:tcW w:type="dxa" w:w="4340"/>
            <w:tcBorders>
              <w:top w:val="single" w:color="AAAAAA" w:sz="1"/>
              <w:left w:val="single" w:color="AAAAAA" w:sz="1"/>
              <w:bottom w:val="single" w:color="AAAAAA" w:sz="1"/>
              <w:right w:val="single" w:color="AAAAAA" w:sz="1"/>
            </w:tcBorders>
            <w:shd w:fill="1B7A43" w:color="auto" w:val="clear"/>
            <w:tcMar>
              <w:top w:type="dxa" w:w="24"/>
              <w:left w:type="dxa" w:w="90"/>
              <w:bottom w:type="dxa" w:w="24"/>
              <w:right w:type="dxa" w:w="90"/>
            </w:tcMar>
            <w:vAlign w:val="top"/>
          </w:tcPr>
          <w:p>
            <w:pPr>
              <w:spacing w:after="0"/>
              <w:jc w:val="left"/>
            </w:pPr>
            <w:r>
              <w:rPr>
                <w:rFonts w:ascii="Arial" w:cs="Arial" w:eastAsia="Arial" w:hAnsi="Arial"/>
                <w:b/>
                <w:bCs/>
                <w:color w:val="FFFFFF"/>
                <w:sz w:val="15"/>
                <w:szCs w:val="15"/>
              </w:rPr>
              <w:t xml:space="preserve">AND DIET ASSESSMENT REVEALS…</w:t>
            </w:r>
          </w:p>
        </w:tc>
        <w:tc>
          <w:tcPr>
            <w:tcW w:type="dxa" w:w="4340"/>
            <w:tcBorders>
              <w:top w:val="single" w:color="AAAAAA" w:sz="1"/>
              <w:left w:val="single" w:color="AAAAAA" w:sz="1"/>
              <w:bottom w:val="single" w:color="AAAAAA" w:sz="1"/>
              <w:right w:val="single" w:color="AAAAAA" w:sz="1"/>
            </w:tcBorders>
            <w:shd w:fill="1B7A43" w:color="auto" w:val="clear"/>
            <w:tcMar>
              <w:top w:type="dxa" w:w="24"/>
              <w:left w:type="dxa" w:w="90"/>
              <w:bottom w:type="dxa" w:w="24"/>
              <w:right w:type="dxa" w:w="90"/>
            </w:tcMar>
            <w:vAlign w:val="top"/>
          </w:tcPr>
          <w:p>
            <w:pPr>
              <w:spacing w:after="0"/>
              <w:jc w:val="left"/>
            </w:pPr>
            <w:r>
              <w:rPr>
                <w:rFonts w:ascii="Arial" w:cs="Arial" w:eastAsia="Arial" w:hAnsi="Arial"/>
                <w:b/>
                <w:bCs/>
                <w:color w:val="FFFFFF"/>
                <w:sz w:val="15"/>
                <w:szCs w:val="15"/>
              </w:rPr>
              <w:t xml:space="preserve">THEN ADVISE TO…</w:t>
            </w:r>
          </w:p>
        </w:tc>
      </w:tr>
      <w:tr>
        <w:tc>
          <w:tcPr>
            <w:tcW w:type="dxa" w:w="176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spacing w:after="0"/>
            </w:pPr>
            <w:r>
              <w:rPr>
                <w:rFonts w:ascii="Arial" w:cs="Arial" w:eastAsia="Arial" w:hAnsi="Arial"/>
                <w:b/>
                <w:bCs/>
                <w:color w:val="B00000"/>
                <w:sz w:val="15"/>
                <w:szCs w:val="15"/>
              </w:rPr>
              <w:t xml:space="preserve">Higher for oxalate</w:t>
            </w:r>
          </w:p>
        </w:tc>
        <w:tc>
          <w:tcPr>
            <w:tcW w:type="dxa" w:w="434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Calcium consumption suboptimal and/or not distributed with meals</w:t>
            </w:r>
          </w:p>
          <w:p>
            <w:pPr>
              <w:pStyle w:val="ListParagraph"/>
              <w:numPr>
                <w:ilvl w:val="0"/>
                <w:numId w:val="2"/>
              </w:numPr>
              <w:spacing w:after="8" w:line="182"/>
            </w:pPr>
            <w:r>
              <w:rPr>
                <w:rFonts w:ascii="Arial" w:cs="Arial" w:eastAsia="Arial" w:hAnsi="Arial"/>
                <w:sz w:val="14"/>
                <w:szCs w:val="14"/>
              </w:rPr>
              <w:t xml:space="preserve">Calcium consumption inadequate to compensate for diet rich in foods containing oxalate</w:t>
            </w:r>
          </w:p>
          <w:p>
            <w:pPr>
              <w:pStyle w:val="ListParagraph"/>
              <w:numPr>
                <w:ilvl w:val="0"/>
                <w:numId w:val="2"/>
              </w:numPr>
              <w:spacing w:after="8" w:line="182"/>
            </w:pPr>
            <w:r>
              <w:rPr>
                <w:rFonts w:ascii="Arial" w:cs="Arial" w:eastAsia="Arial" w:hAnsi="Arial"/>
                <w:sz w:val="14"/>
                <w:szCs w:val="14"/>
              </w:rPr>
              <w:t xml:space="preserve">Habitual use of collagen, vitamin C, herbal, and/or other plant-derived supplements</w:t>
            </w:r>
          </w:p>
          <w:p>
            <w:pPr>
              <w:pStyle w:val="ListParagraph"/>
              <w:numPr>
                <w:ilvl w:val="0"/>
                <w:numId w:val="2"/>
              </w:numPr>
              <w:spacing w:after="8" w:line="182"/>
            </w:pPr>
            <w:r>
              <w:rPr>
                <w:rFonts w:ascii="Arial" w:cs="Arial" w:eastAsia="Arial" w:hAnsi="Arial"/>
                <w:sz w:val="14"/>
                <w:szCs w:val="14"/>
              </w:rPr>
              <w:t xml:space="preserve">Diet is low for probiotics capable of sustaining oxalate-degrading microbes in digestive tract</w:t>
            </w:r>
          </w:p>
        </w:tc>
        <w:tc>
          <w:tcPr>
            <w:tcW w:type="dxa" w:w="434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Pair calcium-containing foods/beverages with meals</w:t>
            </w:r>
          </w:p>
          <w:p>
            <w:pPr>
              <w:pStyle w:val="ListParagraph"/>
              <w:numPr>
                <w:ilvl w:val="0"/>
                <w:numId w:val="2"/>
              </w:numPr>
              <w:spacing w:after="8" w:line="182"/>
            </w:pPr>
            <w:r>
              <w:rPr>
                <w:rFonts w:ascii="Arial" w:cs="Arial" w:eastAsia="Arial" w:hAnsi="Arial"/>
                <w:sz w:val="14"/>
                <w:szCs w:val="14"/>
              </w:rPr>
              <w:t xml:space="preserve">Increase calcium intake, preferably from foods and beverages (calcium supplements distributed at meals may be useful in those with malabsorption-induced hyperoxaluria)</w:t>
            </w:r>
          </w:p>
          <w:p>
            <w:pPr>
              <w:pStyle w:val="ListParagraph"/>
              <w:numPr>
                <w:ilvl w:val="0"/>
                <w:numId w:val="2"/>
              </w:numPr>
              <w:spacing w:after="8" w:line="182"/>
            </w:pPr>
            <w:r>
              <w:rPr>
                <w:rFonts w:ascii="Arial" w:cs="Arial" w:eastAsia="Arial" w:hAnsi="Arial"/>
                <w:sz w:val="14"/>
                <w:szCs w:val="14"/>
              </w:rPr>
              <w:t xml:space="preserve">Discontinue or decrease use</w:t>
            </w:r>
          </w:p>
          <w:p>
            <w:pPr>
              <w:pStyle w:val="ListParagraph"/>
              <w:numPr>
                <w:ilvl w:val="0"/>
                <w:numId w:val="2"/>
              </w:numPr>
              <w:spacing w:after="8" w:line="182"/>
            </w:pPr>
            <w:r>
              <w:rPr>
                <w:rFonts w:ascii="Arial" w:cs="Arial" w:eastAsia="Arial" w:hAnsi="Arial"/>
                <w:sz w:val="14"/>
                <w:szCs w:val="14"/>
              </w:rPr>
              <w:t xml:space="preserve">Increase fiber intake</w:t>
            </w:r>
          </w:p>
        </w:tc>
      </w:tr>
      <w:tr>
        <w:tc>
          <w:tcPr>
            <w:tcW w:type="dxa" w:w="1760"/>
            <w:tcBorders>
              <w:top w:val="single" w:color="AAAAAA" w:sz="1"/>
              <w:left w:val="single" w:color="AAAAAA" w:sz="1"/>
              <w:bottom w:val="single" w:color="AAAAAA" w:sz="1"/>
              <w:right w:val="single" w:color="AAAAAA" w:sz="1"/>
            </w:tcBorders>
            <w:shd w:fill="F4F8F5" w:color="auto" w:val="clear"/>
            <w:tcMar>
              <w:top w:type="dxa" w:w="24"/>
              <w:left w:type="dxa" w:w="90"/>
              <w:bottom w:type="dxa" w:w="24"/>
              <w:right w:type="dxa" w:w="90"/>
            </w:tcMar>
            <w:vAlign w:val="top"/>
          </w:tcPr>
          <w:p>
            <w:pPr>
              <w:spacing w:after="0"/>
            </w:pPr>
            <w:r>
              <w:rPr>
                <w:rFonts w:ascii="Arial" w:cs="Arial" w:eastAsia="Arial" w:hAnsi="Arial"/>
                <w:b/>
                <w:bCs/>
                <w:color w:val="B00000"/>
                <w:sz w:val="15"/>
                <w:szCs w:val="15"/>
              </w:rPr>
              <w:t xml:space="preserve">Higher for calcium</w:t>
            </w:r>
          </w:p>
        </w:tc>
        <w:tc>
          <w:tcPr>
            <w:tcW w:type="dxa" w:w="4340"/>
            <w:tcBorders>
              <w:top w:val="single" w:color="AAAAAA" w:sz="1"/>
              <w:left w:val="single" w:color="AAAAAA" w:sz="1"/>
              <w:bottom w:val="single" w:color="AAAAAA" w:sz="1"/>
              <w:right w:val="single" w:color="AAAAAA" w:sz="1"/>
            </w:tcBorders>
            <w:shd w:fill="F4F8F5"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Excess calcium and/or vitamin D supplementation</w:t>
            </w:r>
          </w:p>
          <w:p>
            <w:pPr>
              <w:pStyle w:val="ListParagraph"/>
              <w:numPr>
                <w:ilvl w:val="0"/>
                <w:numId w:val="2"/>
              </w:numPr>
              <w:spacing w:after="8" w:line="182"/>
            </w:pPr>
            <w:r>
              <w:rPr>
                <w:rFonts w:ascii="Arial" w:cs="Arial" w:eastAsia="Arial" w:hAnsi="Arial"/>
                <w:sz w:val="14"/>
                <w:szCs w:val="14"/>
              </w:rPr>
              <w:t xml:space="preserve">Excess consumption of salt (as NaCl)</w:t>
            </w:r>
          </w:p>
          <w:p>
            <w:pPr>
              <w:pStyle w:val="ListParagraph"/>
              <w:numPr>
                <w:ilvl w:val="0"/>
                <w:numId w:val="2"/>
              </w:numPr>
              <w:spacing w:after="8" w:line="182"/>
            </w:pPr>
            <w:r>
              <w:rPr>
                <w:rFonts w:ascii="Arial" w:cs="Arial" w:eastAsia="Arial" w:hAnsi="Arial"/>
                <w:sz w:val="14"/>
                <w:szCs w:val="14"/>
              </w:rPr>
              <w:t xml:space="preserve">High potential renal acid load of diet</w:t>
            </w:r>
          </w:p>
        </w:tc>
        <w:tc>
          <w:tcPr>
            <w:tcW w:type="dxa" w:w="4340"/>
            <w:tcBorders>
              <w:top w:val="single" w:color="AAAAAA" w:sz="1"/>
              <w:left w:val="single" w:color="AAAAAA" w:sz="1"/>
              <w:bottom w:val="single" w:color="AAAAAA" w:sz="1"/>
              <w:right w:val="single" w:color="AAAAAA" w:sz="1"/>
            </w:tcBorders>
            <w:shd w:fill="F4F8F5"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Discontinue or decrease dosage(s)</w:t>
            </w:r>
          </w:p>
          <w:p>
            <w:pPr>
              <w:pStyle w:val="ListParagraph"/>
              <w:numPr>
                <w:ilvl w:val="0"/>
                <w:numId w:val="2"/>
              </w:numPr>
              <w:spacing w:after="8" w:line="182"/>
            </w:pPr>
            <w:r>
              <w:rPr>
                <w:rFonts w:ascii="Arial" w:cs="Arial" w:eastAsia="Arial" w:hAnsi="Arial"/>
                <w:sz w:val="14"/>
                <w:szCs w:val="14"/>
              </w:rPr>
              <w:t xml:space="preserve">Lower consumption of salt-rich foods, smaller portions of salt-rich foods</w:t>
            </w:r>
          </w:p>
          <w:p>
            <w:pPr>
              <w:pStyle w:val="ListParagraph"/>
              <w:numPr>
                <w:ilvl w:val="0"/>
                <w:numId w:val="2"/>
              </w:numPr>
              <w:spacing w:after="8" w:line="182"/>
            </w:pPr>
            <w:r>
              <w:rPr>
                <w:rFonts w:ascii="Arial" w:cs="Arial" w:eastAsia="Arial" w:hAnsi="Arial"/>
                <w:sz w:val="14"/>
                <w:szCs w:val="14"/>
              </w:rPr>
              <w:t xml:space="preserve">Increase consumption of alkaline-ash foods, alternatively or in addition, decrease consumption of acidogenic foods, if high</w:t>
            </w:r>
          </w:p>
        </w:tc>
      </w:tr>
      <w:tr>
        <w:tc>
          <w:tcPr>
            <w:tcW w:type="dxa" w:w="176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spacing w:after="0"/>
            </w:pPr>
            <w:r>
              <w:rPr>
                <w:rFonts w:ascii="Arial" w:cs="Arial" w:eastAsia="Arial" w:hAnsi="Arial"/>
                <w:b/>
                <w:bCs/>
                <w:color w:val="B00000"/>
                <w:sz w:val="15"/>
                <w:szCs w:val="15"/>
              </w:rPr>
              <w:t xml:space="preserve">Lower for citrate and/or pH</w:t>
            </w:r>
          </w:p>
        </w:tc>
        <w:tc>
          <w:tcPr>
            <w:tcW w:type="dxa" w:w="434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Inadequate consumption of fruits and vegetables (typically 5 a day is considered adequate; “adequacy” varies by life stage and other factors)</w:t>
            </w:r>
          </w:p>
          <w:p>
            <w:pPr>
              <w:pStyle w:val="ListParagraph"/>
              <w:numPr>
                <w:ilvl w:val="0"/>
                <w:numId w:val="2"/>
              </w:numPr>
              <w:spacing w:after="8" w:line="182"/>
            </w:pPr>
            <w:r>
              <w:rPr>
                <w:rFonts w:ascii="Arial" w:cs="Arial" w:eastAsia="Arial" w:hAnsi="Arial"/>
                <w:sz w:val="14"/>
                <w:szCs w:val="14"/>
              </w:rPr>
              <w:t xml:space="preserve">Fruit/vegetable consumption inadequate to compensate for diet rich in acidogenic foods (grains, meats, eggs, cheeses)</w:t>
            </w:r>
          </w:p>
        </w:tc>
        <w:tc>
          <w:tcPr>
            <w:tcW w:type="dxa" w:w="434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Increase fruit and vegetable intake, such as higher frequency of consumption and/or larger portion sizes</w:t>
            </w:r>
          </w:p>
          <w:p>
            <w:pPr>
              <w:pStyle w:val="ListParagraph"/>
              <w:numPr>
                <w:ilvl w:val="0"/>
                <w:numId w:val="2"/>
              </w:numPr>
              <w:spacing w:after="8" w:line="182"/>
            </w:pPr>
            <w:r>
              <w:rPr>
                <w:rFonts w:ascii="Arial" w:cs="Arial" w:eastAsia="Arial" w:hAnsi="Arial"/>
                <w:sz w:val="14"/>
                <w:szCs w:val="14"/>
              </w:rPr>
              <w:t xml:space="preserve">Increase consumption of fruits and vegetables, alternatively or in addition, decrease consumption of acidogenic foods</w:t>
            </w:r>
          </w:p>
        </w:tc>
      </w:tr>
      <w:tr>
        <w:tc>
          <w:tcPr>
            <w:tcW w:type="dxa" w:w="1760"/>
            <w:tcBorders>
              <w:top w:val="single" w:color="AAAAAA" w:sz="1"/>
              <w:left w:val="single" w:color="AAAAAA" w:sz="1"/>
              <w:bottom w:val="single" w:color="AAAAAA" w:sz="1"/>
              <w:right w:val="single" w:color="AAAAAA" w:sz="1"/>
            </w:tcBorders>
            <w:shd w:fill="F4F8F5" w:color="auto" w:val="clear"/>
            <w:tcMar>
              <w:top w:type="dxa" w:w="24"/>
              <w:left w:type="dxa" w:w="90"/>
              <w:bottom w:type="dxa" w:w="24"/>
              <w:right w:type="dxa" w:w="90"/>
            </w:tcMar>
            <w:vAlign w:val="top"/>
          </w:tcPr>
          <w:p>
            <w:pPr>
              <w:spacing w:after="0"/>
            </w:pPr>
            <w:r>
              <w:rPr>
                <w:rFonts w:ascii="Arial" w:cs="Arial" w:eastAsia="Arial" w:hAnsi="Arial"/>
                <w:b/>
                <w:bCs/>
                <w:color w:val="B00000"/>
                <w:sz w:val="15"/>
                <w:szCs w:val="15"/>
              </w:rPr>
              <w:t xml:space="preserve">Lower for magnesium</w:t>
            </w:r>
          </w:p>
        </w:tc>
        <w:tc>
          <w:tcPr>
            <w:tcW w:type="dxa" w:w="4340"/>
            <w:tcBorders>
              <w:top w:val="single" w:color="AAAAAA" w:sz="1"/>
              <w:left w:val="single" w:color="AAAAAA" w:sz="1"/>
              <w:bottom w:val="single" w:color="AAAAAA" w:sz="1"/>
              <w:right w:val="single" w:color="AAAAAA" w:sz="1"/>
            </w:tcBorders>
            <w:shd w:fill="F4F8F5"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Compromised magnesium status (24h urine magnesium generally considered best indicator)</w:t>
            </w:r>
          </w:p>
          <w:p>
            <w:pPr>
              <w:pStyle w:val="ListParagraph"/>
              <w:numPr>
                <w:ilvl w:val="0"/>
                <w:numId w:val="2"/>
              </w:numPr>
              <w:spacing w:after="8" w:line="182"/>
            </w:pPr>
            <w:r>
              <w:rPr>
                <w:rFonts w:ascii="Arial" w:cs="Arial" w:eastAsia="Arial" w:hAnsi="Arial"/>
                <w:sz w:val="14"/>
                <w:szCs w:val="14"/>
              </w:rPr>
              <w:t xml:space="preserve">Magnesium intake inadequate to compensate for malabsorption or other magnesium-depleting factors (e.g. proton pump inhibitors)</w:t>
            </w:r>
          </w:p>
        </w:tc>
        <w:tc>
          <w:tcPr>
            <w:tcW w:type="dxa" w:w="4340"/>
            <w:tcBorders>
              <w:top w:val="single" w:color="AAAAAA" w:sz="1"/>
              <w:left w:val="single" w:color="AAAAAA" w:sz="1"/>
              <w:bottom w:val="single" w:color="AAAAAA" w:sz="1"/>
              <w:right w:val="single" w:color="AAAAAA" w:sz="1"/>
            </w:tcBorders>
            <w:shd w:fill="F4F8F5"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Encourage intake of magnesium-rich foods, including whole grains, dark leafy greens, dried beans and legumes, nuts, and seeds</w:t>
            </w:r>
          </w:p>
          <w:p>
            <w:pPr>
              <w:pStyle w:val="ListParagraph"/>
              <w:numPr>
                <w:ilvl w:val="0"/>
                <w:numId w:val="2"/>
              </w:numPr>
              <w:spacing w:after="8" w:line="182"/>
            </w:pPr>
            <w:r>
              <w:rPr>
                <w:rFonts w:ascii="Arial" w:cs="Arial" w:eastAsia="Arial" w:hAnsi="Arial"/>
                <w:sz w:val="14"/>
                <w:szCs w:val="14"/>
              </w:rPr>
              <w:t xml:space="preserve">Recommend OTC magnesium supplement, dosage to be determined by magnitude of low 24h urine magnesium</w:t>
            </w:r>
          </w:p>
        </w:tc>
      </w:tr>
      <w:tr>
        <w:tc>
          <w:tcPr>
            <w:tcW w:type="dxa" w:w="176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spacing w:after="0"/>
            </w:pPr>
            <w:r>
              <w:rPr>
                <w:rFonts w:ascii="Arial" w:cs="Arial" w:eastAsia="Arial" w:hAnsi="Arial"/>
                <w:b/>
                <w:bCs/>
                <w:color w:val="B00000"/>
                <w:sz w:val="15"/>
                <w:szCs w:val="15"/>
              </w:rPr>
              <w:t xml:space="preserve">Lower for volume</w:t>
            </w:r>
          </w:p>
        </w:tc>
        <w:tc>
          <w:tcPr>
            <w:tcW w:type="dxa" w:w="434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Inadequate fluid consumption (particularly if compensating for excessive sweating or GI losses)</w:t>
            </w:r>
          </w:p>
          <w:p>
            <w:pPr>
              <w:pStyle w:val="ListParagraph"/>
              <w:numPr>
                <w:ilvl w:val="0"/>
                <w:numId w:val="2"/>
              </w:numPr>
              <w:spacing w:after="8" w:line="182"/>
            </w:pPr>
            <w:r>
              <w:rPr>
                <w:rFonts w:ascii="Arial" w:cs="Arial" w:eastAsia="Arial" w:hAnsi="Arial"/>
                <w:sz w:val="14"/>
                <w:szCs w:val="14"/>
              </w:rPr>
              <w:t xml:space="preserve">Low consumption of foods with higher water content</w:t>
            </w:r>
          </w:p>
        </w:tc>
        <w:tc>
          <w:tcPr>
            <w:tcW w:type="dxa" w:w="4340"/>
            <w:tcBorders>
              <w:top w:val="single" w:color="AAAAAA" w:sz="1"/>
              <w:left w:val="single" w:color="AAAAAA" w:sz="1"/>
              <w:bottom w:val="single" w:color="AAAAAA" w:sz="1"/>
              <w:right w:val="single" w:color="AAAAAA" w:sz="1"/>
            </w:tcBorders>
            <w:shd w:fill="FFFFFF" w:color="auto" w:val="clear"/>
            <w:tcMar>
              <w:top w:type="dxa" w:w="24"/>
              <w:left w:type="dxa" w:w="90"/>
              <w:bottom w:type="dxa" w:w="24"/>
              <w:right w:type="dxa" w:w="90"/>
            </w:tcMar>
            <w:vAlign w:val="top"/>
          </w:tcPr>
          <w:p>
            <w:pPr>
              <w:pStyle w:val="ListParagraph"/>
              <w:numPr>
                <w:ilvl w:val="0"/>
                <w:numId w:val="2"/>
              </w:numPr>
              <w:spacing w:after="8" w:line="182"/>
            </w:pPr>
            <w:r>
              <w:rPr>
                <w:rFonts w:ascii="Arial" w:cs="Arial" w:eastAsia="Arial" w:hAnsi="Arial"/>
                <w:sz w:val="14"/>
                <w:szCs w:val="14"/>
              </w:rPr>
              <w:t xml:space="preserve">Increase consumption of a variety of beverages, emphasizing mostly low-sugar, low-calorie</w:t>
            </w:r>
          </w:p>
          <w:p>
            <w:pPr>
              <w:pStyle w:val="ListParagraph"/>
              <w:numPr>
                <w:ilvl w:val="0"/>
                <w:numId w:val="2"/>
              </w:numPr>
              <w:spacing w:after="8" w:line="182"/>
            </w:pPr>
            <w:r>
              <w:rPr>
                <w:rFonts w:ascii="Arial" w:cs="Arial" w:eastAsia="Arial" w:hAnsi="Arial"/>
                <w:sz w:val="14"/>
                <w:szCs w:val="14"/>
              </w:rPr>
              <w:t xml:space="preserve">Increase consumption of fruits, vegetables, soups, yogurt, kefir</w:t>
            </w:r>
          </w:p>
        </w:tc>
      </w:tr>
    </w:tbl>
    <w:p>
      <w:pPr>
        <w:spacing w:after="0" w:before="24"/>
      </w:pPr>
      <w:r>
        <w:rPr>
          <w:rFonts w:ascii="Arial" w:cs="Arial" w:eastAsia="Arial" w:hAnsi="Arial"/>
          <w:i/>
          <w:iCs/>
          <w:color w:val="555555"/>
          <w:sz w:val="13"/>
          <w:szCs w:val="13"/>
        </w:rPr>
        <w:t xml:space="preserve">Individualized nutrition intervention guided by 24-hour urinary stone-risk factors and diet assessment.</w:t>
      </w:r>
    </w:p>
    <w:p>
      <w:pPr>
        <w:pBdr>
          <w:bottom w:val="single" w:color="1B7A43" w:sz="8" w:space="1"/>
        </w:pBdr>
        <w:spacing w:after="16" w:before="42"/>
      </w:pPr>
      <w:r>
        <w:rPr>
          <w:rFonts w:ascii="Arial" w:cs="Arial" w:eastAsia="Arial" w:hAnsi="Arial"/>
          <w:b/>
          <w:bCs/>
          <w:color w:val="000000"/>
          <w:sz w:val="22"/>
          <w:szCs w:val="22"/>
        </w:rPr>
        <w:t xml:space="preserve">Drinks &amp; Supplements to Raise Urine pH and Citrate</w:t>
      </w:r>
    </w:p>
    <w:p>
      <w:pPr>
        <w:spacing w:after="44" w:line="200"/>
      </w:pPr>
      <w:r>
        <w:rPr>
          <w:rFonts w:ascii="Arial" w:cs="Arial" w:eastAsia="Arial" w:hAnsi="Arial"/>
          <w:sz w:val="17"/>
          <w:szCs w:val="17"/>
        </w:rPr>
        <w:t xml:space="preserve">Uric acid and cystine stones form in acidic urine, so raising urine pH is the goal. Potassium citrate works but is often skipped for cost, pill size, and stomach upset. This table compares lower-cost alternatives by alkali, sodium, calories, and the monthly cost to reach the </w:t>
      </w:r>
      <w:r>
        <w:rPr>
          <w:rFonts w:ascii="Arial" w:cs="Arial" w:eastAsia="Arial" w:hAnsi="Arial"/>
          <w:b/>
          <w:bCs/>
          <w:sz w:val="17"/>
          <w:szCs w:val="17"/>
        </w:rPr>
        <w:t xml:space="preserve">30–60 mEq/day</w:t>
      </w:r>
      <w:r>
        <w:rPr>
          <w:rFonts w:ascii="Arial" w:cs="Arial" w:eastAsia="Arial" w:hAnsi="Arial"/>
          <w:sz w:val="17"/>
          <w:szCs w:val="17"/>
        </w:rPr>
        <w:t xml:space="preserve"> target set by the AUA and EAU (usually 2–3 servings/day).</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10440"/>
      </w:tblGrid>
      <w:tr>
        <w:tc>
          <w:tcPr>
            <w:tcW w:type="dxa" w:w="10440"/>
            <w:tcBorders>
              <w:top w:val="single" w:color="1B7A43" w:sz="4"/>
              <w:left w:val="single" w:color="1B7A43" w:sz="18"/>
              <w:bottom w:val="single" w:color="1B7A43" w:sz="4"/>
              <w:right w:val="single" w:color="1B7A43" w:sz="4"/>
            </w:tcBorders>
            <w:shd w:fill="E4F1E7" w:color="auto" w:val="clear"/>
            <w:tcMar>
              <w:top w:type="dxa" w:w="60"/>
              <w:left w:type="dxa" w:w="150"/>
              <w:bottom w:type="dxa" w:w="60"/>
              <w:right w:type="dxa" w:w="150"/>
            </w:tcMar>
          </w:tcPr>
          <w:p>
            <w:pPr>
              <w:spacing w:after="0" w:line="206"/>
            </w:pPr>
            <w:r>
              <w:rPr>
                <w:rFonts w:ascii="Arial" w:cs="Arial" w:eastAsia="Arial" w:hAnsi="Arial"/>
                <w:b/>
                <w:bCs/>
                <w:color w:val="12592F"/>
                <w:sz w:val="16"/>
                <w:szCs w:val="16"/>
              </w:rPr>
              <w:t xml:space="preserve">Does alkaline water help?  Short answer: no.  </w:t>
            </w:r>
            <w:r>
              <w:rPr>
                <w:rFonts w:ascii="Arial" w:cs="Arial" w:eastAsia="Arial" w:hAnsi="Arial"/>
                <w:sz w:val="15"/>
                <w:szCs w:val="15"/>
              </w:rPr>
              <w:t xml:space="preserve">A 2024 Journal of Urology study of five popular brands (Essentia, Smart Water Alkaline, Great Value, Body Armor SportWater, Perfect Hydration) found that despite a pH near 10, each had under 1 mEq/L of usable alkali — no better than tap water for raising urine pH. A drink’s pH is not its alkali content: only drinks with organic anions (like citrate) that the body converts to alkali actually raise urine pH. If the taste helps you drink more, fine — just expect no stone-prevention benefit, and don’t pay extra.</w:t>
            </w:r>
          </w:p>
        </w:tc>
      </w:tr>
    </w:tbl>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3460"/>
        <w:gridCol w:w="1700"/>
        <w:gridCol w:w="1600"/>
        <w:gridCol w:w="1480"/>
        <w:gridCol w:w="2200"/>
      </w:tblGrid>
      <w:tr>
        <w:trPr>
          <w:tblHeader/>
        </w:trPr>
        <w:tc>
          <w:tcPr>
            <w:tcW w:type="dxa" w:w="3460"/>
            <w:tcBorders>
              <w:top w:val="single" w:color="BBBBBB" w:sz="1"/>
              <w:left w:val="single" w:color="BBBBBB" w:sz="1"/>
              <w:bottom w:val="single" w:color="BBBBBB" w:sz="1"/>
              <w:right w:val="single" w:color="BBBBBB" w:sz="1"/>
            </w:tcBorders>
            <w:shd w:fill="1B7A43" w:color="auto" w:val="clear"/>
            <w:tcMar>
              <w:top w:type="dxa" w:w="20"/>
              <w:left w:type="dxa" w:w="90"/>
              <w:bottom w:type="dxa" w:w="20"/>
              <w:right w:type="dxa" w:w="90"/>
            </w:tcMar>
            <w:vAlign w:val="center"/>
          </w:tcPr>
          <w:p>
            <w:pPr>
              <w:spacing w:after="0" w:line="210"/>
              <w:jc w:val="left"/>
            </w:pPr>
            <w:r>
              <w:rPr>
                <w:rFonts w:ascii="Arial" w:cs="Arial" w:eastAsia="Arial" w:hAnsi="Arial"/>
                <w:b/>
                <w:bCs/>
                <w:color w:val="FFFFFF"/>
                <w:sz w:val="15"/>
                <w:szCs w:val="15"/>
              </w:rPr>
              <w:t xml:space="preserve">Beverage / Supplement</w:t>
            </w:r>
          </w:p>
        </w:tc>
        <w:tc>
          <w:tcPr>
            <w:tcW w:type="dxa" w:w="1700"/>
            <w:tcBorders>
              <w:top w:val="single" w:color="BBBBBB" w:sz="1"/>
              <w:left w:val="single" w:color="BBBBBB" w:sz="1"/>
              <w:bottom w:val="single" w:color="BBBBBB" w:sz="1"/>
              <w:right w:val="single" w:color="BBBBBB" w:sz="1"/>
            </w:tcBorders>
            <w:shd w:fill="1B7A43" w:color="auto" w:val="clear"/>
            <w:tcMar>
              <w:top w:type="dxa" w:w="20"/>
              <w:left w:type="dxa" w:w="90"/>
              <w:bottom w:type="dxa" w:w="20"/>
              <w:right w:type="dxa" w:w="90"/>
            </w:tcMar>
            <w:vAlign w:val="center"/>
          </w:tcPr>
          <w:p>
            <w:pPr>
              <w:spacing w:after="0" w:line="210"/>
              <w:jc w:val="center"/>
            </w:pPr>
            <w:r>
              <w:rPr>
                <w:rFonts w:ascii="Arial" w:cs="Arial" w:eastAsia="Arial" w:hAnsi="Arial"/>
                <w:b/>
                <w:bCs/>
                <w:color w:val="FFFFFF"/>
                <w:sz w:val="15"/>
                <w:szCs w:val="15"/>
              </w:rPr>
              <w:t xml:space="preserve">Alkali (mEq/serv)</w:t>
            </w:r>
          </w:p>
        </w:tc>
        <w:tc>
          <w:tcPr>
            <w:tcW w:type="dxa" w:w="1600"/>
            <w:tcBorders>
              <w:top w:val="single" w:color="BBBBBB" w:sz="1"/>
              <w:left w:val="single" w:color="BBBBBB" w:sz="1"/>
              <w:bottom w:val="single" w:color="BBBBBB" w:sz="1"/>
              <w:right w:val="single" w:color="BBBBBB" w:sz="1"/>
            </w:tcBorders>
            <w:shd w:fill="1B7A43" w:color="auto" w:val="clear"/>
            <w:tcMar>
              <w:top w:type="dxa" w:w="20"/>
              <w:left w:type="dxa" w:w="90"/>
              <w:bottom w:type="dxa" w:w="20"/>
              <w:right w:type="dxa" w:w="90"/>
            </w:tcMar>
            <w:vAlign w:val="center"/>
          </w:tcPr>
          <w:p>
            <w:pPr>
              <w:spacing w:after="0" w:line="210"/>
              <w:jc w:val="center"/>
            </w:pPr>
            <w:r>
              <w:rPr>
                <w:rFonts w:ascii="Arial" w:cs="Arial" w:eastAsia="Arial" w:hAnsi="Arial"/>
                <w:b/>
                <w:bCs/>
                <w:color w:val="FFFFFF"/>
                <w:sz w:val="15"/>
                <w:szCs w:val="15"/>
              </w:rPr>
              <w:t xml:space="preserve">Sodium (mg)</w:t>
            </w:r>
          </w:p>
        </w:tc>
        <w:tc>
          <w:tcPr>
            <w:tcW w:type="dxa" w:w="1480"/>
            <w:tcBorders>
              <w:top w:val="single" w:color="BBBBBB" w:sz="1"/>
              <w:left w:val="single" w:color="BBBBBB" w:sz="1"/>
              <w:bottom w:val="single" w:color="BBBBBB" w:sz="1"/>
              <w:right w:val="single" w:color="BBBBBB" w:sz="1"/>
            </w:tcBorders>
            <w:shd w:fill="1B7A43" w:color="auto" w:val="clear"/>
            <w:tcMar>
              <w:top w:type="dxa" w:w="20"/>
              <w:left w:type="dxa" w:w="90"/>
              <w:bottom w:type="dxa" w:w="20"/>
              <w:right w:type="dxa" w:w="90"/>
            </w:tcMar>
            <w:vAlign w:val="center"/>
          </w:tcPr>
          <w:p>
            <w:pPr>
              <w:spacing w:after="0" w:line="210"/>
              <w:jc w:val="center"/>
            </w:pPr>
            <w:r>
              <w:rPr>
                <w:rFonts w:ascii="Arial" w:cs="Arial" w:eastAsia="Arial" w:hAnsi="Arial"/>
                <w:b/>
                <w:bCs/>
                <w:color w:val="FFFFFF"/>
                <w:sz w:val="15"/>
                <w:szCs w:val="15"/>
              </w:rPr>
              <w:t xml:space="preserve">Calories</w:t>
            </w:r>
          </w:p>
        </w:tc>
        <w:tc>
          <w:tcPr>
            <w:tcW w:type="dxa" w:w="2200"/>
            <w:tcBorders>
              <w:top w:val="single" w:color="BBBBBB" w:sz="1"/>
              <w:left w:val="single" w:color="BBBBBB" w:sz="1"/>
              <w:bottom w:val="single" w:color="BBBBBB" w:sz="1"/>
              <w:right w:val="single" w:color="BBBBBB" w:sz="1"/>
            </w:tcBorders>
            <w:shd w:fill="1B7A43" w:color="auto" w:val="clear"/>
            <w:tcMar>
              <w:top w:type="dxa" w:w="20"/>
              <w:left w:type="dxa" w:w="90"/>
              <w:bottom w:type="dxa" w:w="20"/>
              <w:right w:type="dxa" w:w="90"/>
            </w:tcMar>
            <w:vAlign w:val="center"/>
          </w:tcPr>
          <w:p>
            <w:pPr>
              <w:spacing w:after="0" w:line="210"/>
              <w:jc w:val="center"/>
            </w:pPr>
            <w:r>
              <w:rPr>
                <w:rFonts w:ascii="Arial" w:cs="Arial" w:eastAsia="Arial" w:hAnsi="Arial"/>
                <w:b/>
                <w:bCs/>
                <w:color w:val="FFFFFF"/>
                <w:sz w:val="15"/>
                <w:szCs w:val="15"/>
              </w:rPr>
              <w:t xml:space="preserve">Cost/mo for 30 mEq/day</w:t>
            </w:r>
          </w:p>
        </w:tc>
      </w:tr>
      <w:tr>
        <w:tc>
          <w:tcPr>
            <w:tcW w:type="dxa" w:w="346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Baking soda (Arm &amp; Hammer), ¼ tsp</w:t>
            </w:r>
          </w:p>
        </w:tc>
        <w:tc>
          <w:tcPr>
            <w:tcW w:type="dxa" w:w="17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17</w:t>
            </w:r>
          </w:p>
        </w:tc>
        <w:tc>
          <w:tcPr>
            <w:tcW w:type="dxa" w:w="16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315</w:t>
            </w:r>
          </w:p>
        </w:tc>
        <w:tc>
          <w:tcPr>
            <w:tcW w:type="dxa" w:w="148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22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&lt; $1</w:t>
            </w:r>
          </w:p>
        </w:tc>
      </w:tr>
      <w:tr>
        <w:tc>
          <w:tcPr>
            <w:tcW w:type="dxa" w:w="346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Potassium citrate capsules (e.g. NOW)</w:t>
            </w:r>
          </w:p>
        </w:tc>
        <w:tc>
          <w:tcPr>
            <w:tcW w:type="dxa" w:w="17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12</w:t>
            </w:r>
          </w:p>
        </w:tc>
        <w:tc>
          <w:tcPr>
            <w:tcW w:type="dxa" w:w="16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w:t>
            </w:r>
          </w:p>
        </w:tc>
        <w:tc>
          <w:tcPr>
            <w:tcW w:type="dxa" w:w="148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22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$5</w:t>
            </w:r>
          </w:p>
        </w:tc>
      </w:tr>
      <w:tr>
        <w:tc>
          <w:tcPr>
            <w:tcW w:type="dxa" w:w="346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Orange juice, low-calorie (Tropicana 50)</w:t>
            </w:r>
          </w:p>
        </w:tc>
        <w:tc>
          <w:tcPr>
            <w:tcW w:type="dxa" w:w="17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14</w:t>
            </w:r>
          </w:p>
        </w:tc>
        <w:tc>
          <w:tcPr>
            <w:tcW w:type="dxa" w:w="16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10</w:t>
            </w:r>
          </w:p>
        </w:tc>
        <w:tc>
          <w:tcPr>
            <w:tcW w:type="dxa" w:w="148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50</w:t>
            </w:r>
          </w:p>
        </w:tc>
        <w:tc>
          <w:tcPr>
            <w:tcW w:type="dxa" w:w="22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$34</w:t>
            </w:r>
          </w:p>
        </w:tc>
      </w:tr>
      <w:tr>
        <w:tc>
          <w:tcPr>
            <w:tcW w:type="dxa" w:w="346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LithoBalance powder</w:t>
            </w:r>
          </w:p>
        </w:tc>
        <w:tc>
          <w:tcPr>
            <w:tcW w:type="dxa" w:w="17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12</w:t>
            </w:r>
          </w:p>
        </w:tc>
        <w:tc>
          <w:tcPr>
            <w:tcW w:type="dxa" w:w="16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15</w:t>
            </w:r>
          </w:p>
        </w:tc>
        <w:tc>
          <w:tcPr>
            <w:tcW w:type="dxa" w:w="148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4</w:t>
            </w:r>
          </w:p>
        </w:tc>
        <w:tc>
          <w:tcPr>
            <w:tcW w:type="dxa" w:w="2200"/>
            <w:tcBorders>
              <w:top w:val="single" w:color="BBBBBB" w:sz="1"/>
              <w:left w:val="single" w:color="BBBBBB" w:sz="1"/>
              <w:bottom w:val="single" w:color="BBBBBB" w:sz="1"/>
              <w:right w:val="single" w:color="BBBBBB" w:sz="1"/>
            </w:tcBorders>
            <w:shd w:fill="E4F1E7"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$43</w:t>
            </w:r>
          </w:p>
        </w:tc>
      </w:tr>
      <w:tr>
        <w:tc>
          <w:tcPr>
            <w:tcW w:type="dxa" w:w="346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KSP tablets</w:t>
            </w:r>
          </w:p>
        </w:tc>
        <w:tc>
          <w:tcPr>
            <w:tcW w:type="dxa" w:w="17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14</w:t>
            </w:r>
          </w:p>
        </w:tc>
        <w:tc>
          <w:tcPr>
            <w:tcW w:type="dxa" w:w="16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224</w:t>
            </w:r>
          </w:p>
        </w:tc>
        <w:tc>
          <w:tcPr>
            <w:tcW w:type="dxa" w:w="148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10</w:t>
            </w:r>
          </w:p>
        </w:tc>
        <w:tc>
          <w:tcPr>
            <w:tcW w:type="dxa" w:w="22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$57</w:t>
            </w:r>
          </w:p>
        </w:tc>
      </w:tr>
      <w:tr>
        <w:tc>
          <w:tcPr>
            <w:tcW w:type="dxa" w:w="346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Crystal Light Lemonade (On the Go)</w:t>
            </w:r>
          </w:p>
        </w:tc>
        <w:tc>
          <w:tcPr>
            <w:tcW w:type="dxa" w:w="17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8</w:t>
            </w:r>
          </w:p>
        </w:tc>
        <w:tc>
          <w:tcPr>
            <w:tcW w:type="dxa" w:w="16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75</w:t>
            </w:r>
          </w:p>
        </w:tc>
        <w:tc>
          <w:tcPr>
            <w:tcW w:type="dxa" w:w="148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10</w:t>
            </w:r>
          </w:p>
        </w:tc>
        <w:tc>
          <w:tcPr>
            <w:tcW w:type="dxa" w:w="22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$62</w:t>
            </w:r>
          </w:p>
        </w:tc>
      </w:tr>
      <w:tr>
        <w:tc>
          <w:tcPr>
            <w:tcW w:type="dxa" w:w="346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Litholyte powder</w:t>
            </w:r>
          </w:p>
        </w:tc>
        <w:tc>
          <w:tcPr>
            <w:tcW w:type="dxa" w:w="17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7</w:t>
            </w:r>
          </w:p>
        </w:tc>
        <w:tc>
          <w:tcPr>
            <w:tcW w:type="dxa" w:w="16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67</w:t>
            </w:r>
          </w:p>
        </w:tc>
        <w:tc>
          <w:tcPr>
            <w:tcW w:type="dxa" w:w="148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22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$68</w:t>
            </w:r>
          </w:p>
        </w:tc>
      </w:tr>
      <w:tr>
        <w:tc>
          <w:tcPr>
            <w:tcW w:type="dxa" w:w="346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Potassium citrate, Rx (Urocit-K)</w:t>
            </w:r>
          </w:p>
        </w:tc>
        <w:tc>
          <w:tcPr>
            <w:tcW w:type="dxa" w:w="17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15</w:t>
            </w:r>
          </w:p>
        </w:tc>
        <w:tc>
          <w:tcPr>
            <w:tcW w:type="dxa" w:w="16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148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2200"/>
            <w:tcBorders>
              <w:top w:val="single" w:color="BBBBBB" w:sz="1"/>
              <w:left w:val="single" w:color="BBBBBB" w:sz="1"/>
              <w:bottom w:val="single" w:color="BBBBBB" w:sz="1"/>
              <w:right w:val="single" w:color="BBBBBB" w:sz="1"/>
            </w:tcBorders>
            <w:shd w:fill="FBF3DD"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$239</w:t>
            </w:r>
          </w:p>
        </w:tc>
      </w:tr>
      <w:tr>
        <w:tc>
          <w:tcPr>
            <w:tcW w:type="dxa" w:w="346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Welch’s white grape juice</w:t>
            </w:r>
          </w:p>
        </w:tc>
        <w:tc>
          <w:tcPr>
            <w:tcW w:type="dxa" w:w="17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2</w:t>
            </w:r>
          </w:p>
        </w:tc>
        <w:tc>
          <w:tcPr>
            <w:tcW w:type="dxa" w:w="16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15</w:t>
            </w:r>
          </w:p>
        </w:tc>
        <w:tc>
          <w:tcPr>
            <w:tcW w:type="dxa" w:w="148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140</w:t>
            </w:r>
          </w:p>
        </w:tc>
        <w:tc>
          <w:tcPr>
            <w:tcW w:type="dxa" w:w="22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$207</w:t>
            </w:r>
          </w:p>
        </w:tc>
      </w:tr>
      <w:tr>
        <w:tc>
          <w:tcPr>
            <w:tcW w:type="dxa" w:w="346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Coconut water (Taste of Nirvana)</w:t>
            </w:r>
          </w:p>
        </w:tc>
        <w:tc>
          <w:tcPr>
            <w:tcW w:type="dxa" w:w="17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3</w:t>
            </w:r>
          </w:p>
        </w:tc>
        <w:tc>
          <w:tcPr>
            <w:tcW w:type="dxa" w:w="16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48</w:t>
            </w:r>
          </w:p>
        </w:tc>
        <w:tc>
          <w:tcPr>
            <w:tcW w:type="dxa" w:w="148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36</w:t>
            </w:r>
          </w:p>
        </w:tc>
        <w:tc>
          <w:tcPr>
            <w:tcW w:type="dxa" w:w="22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$1,295</w:t>
            </w:r>
          </w:p>
        </w:tc>
      </w:tr>
      <w:tr>
        <w:tc>
          <w:tcPr>
            <w:tcW w:type="dxa" w:w="346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Apple cider vinegar (Bragg’s)</w:t>
            </w:r>
          </w:p>
        </w:tc>
        <w:tc>
          <w:tcPr>
            <w:tcW w:type="dxa" w:w="17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&lt; 1</w:t>
            </w:r>
          </w:p>
        </w:tc>
        <w:tc>
          <w:tcPr>
            <w:tcW w:type="dxa" w:w="16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148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22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$4,161</w:t>
            </w:r>
          </w:p>
        </w:tc>
      </w:tr>
      <w:tr>
        <w:tc>
          <w:tcPr>
            <w:tcW w:type="dxa" w:w="346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left"/>
            </w:pPr>
            <w:r>
              <w:rPr>
                <w:rFonts w:ascii="Arial" w:cs="Arial" w:eastAsia="Arial" w:hAnsi="Arial"/>
                <w:b w:val="false"/>
                <w:bCs w:val="false"/>
                <w:color w:val="000000"/>
                <w:sz w:val="15"/>
                <w:szCs w:val="15"/>
              </w:rPr>
              <w:t xml:space="preserve">Alkaline water (high pH, low mineral)</w:t>
            </w:r>
          </w:p>
        </w:tc>
        <w:tc>
          <w:tcPr>
            <w:tcW w:type="dxa" w:w="17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&lt; 1</w:t>
            </w:r>
          </w:p>
        </w:tc>
        <w:tc>
          <w:tcPr>
            <w:tcW w:type="dxa" w:w="16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148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0</w:t>
            </w:r>
          </w:p>
        </w:tc>
        <w:tc>
          <w:tcPr>
            <w:tcW w:type="dxa" w:w="2200"/>
            <w:tcBorders>
              <w:top w:val="single" w:color="BBBBBB" w:sz="1"/>
              <w:left w:val="single" w:color="BBBBBB" w:sz="1"/>
              <w:bottom w:val="single" w:color="BBBBBB" w:sz="1"/>
              <w:right w:val="single" w:color="BBBBBB" w:sz="1"/>
            </w:tcBorders>
            <w:shd w:fill="FBE6E6" w:color="auto" w:val="clear"/>
            <w:tcMar>
              <w:top w:type="dxa" w:w="20"/>
              <w:left w:type="dxa" w:w="90"/>
              <w:bottom w:type="dxa" w:w="20"/>
              <w:right w:type="dxa" w:w="90"/>
            </w:tcMar>
            <w:vAlign w:val="center"/>
          </w:tcPr>
          <w:p>
            <w:pPr>
              <w:spacing w:after="0" w:line="210"/>
              <w:jc w:val="center"/>
            </w:pPr>
            <w:r>
              <w:rPr>
                <w:rFonts w:ascii="Arial" w:cs="Arial" w:eastAsia="Arial" w:hAnsi="Arial"/>
                <w:b w:val="false"/>
                <w:bCs w:val="false"/>
                <w:color w:val="000000"/>
                <w:sz w:val="15"/>
                <w:szCs w:val="15"/>
              </w:rPr>
              <w:t xml:space="preserve">no benefit</w:t>
            </w:r>
          </w:p>
        </w:tc>
      </w:tr>
    </w:tbl>
    <w:p>
      <w:pPr>
        <w:spacing w:after="40" w:before="36" w:line="206"/>
      </w:pPr>
      <w:r>
        <w:rPr>
          <w:rFonts w:ascii="Arial" w:cs="Arial" w:eastAsia="Arial" w:hAnsi="Arial"/>
          <w:b/>
          <w:bCs/>
          <w:sz w:val="14"/>
          <w:szCs w:val="14"/>
        </w:rPr>
        <w:t xml:space="preserve">Color key:  </w:t>
      </w:r>
      <w:r>
        <w:rPr>
          <w:rFonts w:ascii="Arial" w:cs="Arial" w:eastAsia="Arial" w:hAnsi="Arial"/>
          <w:color w:val="12592F"/>
          <w:sz w:val="14"/>
          <w:szCs w:val="14"/>
        </w:rPr>
        <w:t xml:space="preserve">green = best value &amp; effective</w:t>
      </w:r>
      <w:r>
        <w:rPr>
          <w:rFonts w:ascii="Arial" w:cs="Arial" w:eastAsia="Arial" w:hAnsi="Arial"/>
          <w:color w:val="8A6D00"/>
          <w:sz w:val="14"/>
          <w:szCs w:val="14"/>
        </w:rPr>
        <w:t xml:space="preserve">   ·   yellow = workable</w:t>
      </w:r>
      <w:r>
        <w:rPr>
          <w:rFonts w:ascii="Arial" w:cs="Arial" w:eastAsia="Arial" w:hAnsi="Arial"/>
          <w:color w:val="B00000"/>
          <w:sz w:val="14"/>
          <w:szCs w:val="14"/>
        </w:rPr>
        <w:t xml:space="preserve">   ·   red = costly or ineffective.</w:t>
      </w:r>
      <w:r>
        <w:rPr>
          <w:rFonts w:ascii="Arial" w:cs="Arial" w:eastAsia="Arial" w:hAnsi="Arial"/>
          <w:i/>
          <w:iCs/>
          <w:color w:val="555555"/>
          <w:sz w:val="14"/>
          <w:szCs w:val="14"/>
        </w:rPr>
        <w:t xml:space="preserve">  Per-serving values; cost is per month to reach 30 mEq/day (US prices, 2023–24).</w:t>
      </w:r>
    </w:p>
    <w:p>
      <w:pPr>
        <w:spacing w:after="36" w:line="200"/>
      </w:pPr>
      <w:r>
        <w:rPr>
          <w:rFonts w:ascii="Arial" w:cs="Arial" w:eastAsia="Arial" w:hAnsi="Arial"/>
          <w:b/>
          <w:bCs/>
          <w:color w:val="12592F"/>
          <w:sz w:val="16"/>
          <w:szCs w:val="16"/>
        </w:rPr>
        <w:t xml:space="preserve">Bottom line. </w:t>
      </w:r>
      <w:r>
        <w:rPr>
          <w:rFonts w:ascii="Arial" w:cs="Arial" w:eastAsia="Arial" w:hAnsi="Arial"/>
          <w:b/>
          <w:bCs/>
          <w:sz w:val="17"/>
          <w:szCs w:val="17"/>
        </w:rPr>
        <w:t xml:space="preserve">Best value: </w:t>
      </w:r>
      <w:r>
        <w:rPr>
          <w:rFonts w:ascii="Arial" w:cs="Arial" w:eastAsia="Arial" w:hAnsi="Arial"/>
          <w:sz w:val="17"/>
          <w:szCs w:val="17"/>
        </w:rPr>
        <w:t xml:space="preserve">baking soda (sodium bicarbonate) — about 17 mEq per ¼ tsp; a common regimen is ¼ tsp in the morning and ½ tsp in the evening (adds just under 1 g salt), so use it only after discussing the sodium with your provider if you have high blood pressure or heart/kidney disease. </w:t>
      </w:r>
      <w:r>
        <w:rPr>
          <w:rFonts w:ascii="Arial" w:cs="Arial" w:eastAsia="Arial" w:hAnsi="Arial"/>
          <w:b/>
          <w:bCs/>
          <w:sz w:val="17"/>
          <w:szCs w:val="17"/>
        </w:rPr>
        <w:t xml:space="preserve">Easy and cheap: </w:t>
      </w:r>
      <w:r>
        <w:rPr>
          <w:rFonts w:ascii="Arial" w:cs="Arial" w:eastAsia="Arial" w:hAnsi="Arial"/>
          <w:sz w:val="17"/>
          <w:szCs w:val="17"/>
        </w:rPr>
        <w:t xml:space="preserve">generic potassium citrate capsules and low-calorie orange juice. </w:t>
      </w:r>
      <w:r>
        <w:rPr>
          <w:rFonts w:ascii="Arial" w:cs="Arial" w:eastAsia="Arial" w:hAnsi="Arial"/>
          <w:b/>
          <w:bCs/>
          <w:sz w:val="17"/>
          <w:szCs w:val="17"/>
        </w:rPr>
        <w:t xml:space="preserve">Skip for prevention: </w:t>
      </w:r>
      <w:r>
        <w:rPr>
          <w:rFonts w:ascii="Arial" w:cs="Arial" w:eastAsia="Arial" w:hAnsi="Arial"/>
          <w:sz w:val="17"/>
          <w:szCs w:val="17"/>
        </w:rPr>
        <w:t xml:space="preserve">alkaline water, apple cider vinegar, coconut water, cranberry, and grape juice — little alkali, often high cost or calories. </w:t>
      </w:r>
      <w:r>
        <w:rPr>
          <w:rFonts w:ascii="Arial" w:cs="Arial" w:eastAsia="Arial" w:hAnsi="Arial"/>
          <w:b/>
          <w:bCs/>
          <w:sz w:val="17"/>
          <w:szCs w:val="17"/>
        </w:rPr>
        <w:t xml:space="preserve">Normal drinking water</w:t>
      </w:r>
      <w:r>
        <w:rPr>
          <w:rFonts w:ascii="Arial" w:cs="Arial" w:eastAsia="Arial" w:hAnsi="Arial"/>
          <w:sz w:val="17"/>
          <w:szCs w:val="17"/>
        </w:rPr>
        <w:t xml:space="preserve"> (including filtered tap water) remains the foundation of prevention.</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10440"/>
      </w:tblGrid>
      <w:tr>
        <w:tc>
          <w:tcPr>
            <w:tcW w:type="dxa" w:w="10440"/>
            <w:tcBorders>
              <w:top w:val="single" w:color="1B7A43" w:sz="4"/>
              <w:left w:val="single" w:color="1B7A43" w:sz="18"/>
              <w:bottom w:val="single" w:color="1B7A43" w:sz="4"/>
              <w:right w:val="single" w:color="1B7A43" w:sz="4"/>
            </w:tcBorders>
            <w:shd w:fill="F0F5F1" w:color="auto" w:val="clear"/>
            <w:tcMar>
              <w:top w:type="dxa" w:w="70"/>
              <w:left w:type="dxa" w:w="150"/>
              <w:bottom w:type="dxa" w:w="70"/>
              <w:right w:type="dxa" w:w="150"/>
            </w:tcMar>
          </w:tcPr>
          <w:p>
            <w:pPr>
              <w:spacing w:after="24"/>
            </w:pPr>
            <w:r>
              <w:rPr>
                <w:rFonts w:ascii="Arial" w:cs="Arial" w:eastAsia="Arial" w:hAnsi="Arial"/>
                <w:b/>
                <w:bCs/>
                <w:color w:val="12592F"/>
                <w:sz w:val="17"/>
                <w:szCs w:val="17"/>
              </w:rPr>
              <w:t xml:space="preserve">What the latest evidence adds (2024–25)</w:t>
            </w:r>
          </w:p>
          <w:p>
            <w:pPr>
              <w:spacing w:after="20" w:line="198"/>
            </w:pPr>
            <w:r>
              <w:rPr>
                <w:rFonts w:ascii="Arial" w:cs="Arial" w:eastAsia="Arial" w:hAnsi="Arial"/>
                <w:b/>
                <w:bCs/>
                <w:sz w:val="15"/>
                <w:szCs w:val="15"/>
              </w:rPr>
              <w:t xml:space="preserve">Think in patterns, not single foods. </w:t>
            </w:r>
            <w:r>
              <w:rPr>
                <w:rFonts w:ascii="Arial" w:cs="Arial" w:eastAsia="Arial" w:hAnsi="Arial"/>
                <w:sz w:val="15"/>
                <w:szCs w:val="15"/>
              </w:rPr>
              <w:t xml:space="preserve">Large studies link DASH- and Mediterranean-style eating — plenty of fruits and vegetables, moderate low-fat dairy, and less animal protein — to markedly lower stone risk. The six sections on the front add up to that pattern.</w:t>
            </w:r>
          </w:p>
          <w:p>
            <w:pPr>
              <w:spacing w:after="20" w:line="198"/>
            </w:pPr>
            <w:r>
              <w:rPr>
                <w:rFonts w:ascii="Arial" w:cs="Arial" w:eastAsia="Arial" w:hAnsi="Arial"/>
                <w:b/>
                <w:bCs/>
                <w:sz w:val="15"/>
                <w:szCs w:val="15"/>
              </w:rPr>
              <w:t xml:space="preserve">Cut ultra-processed foods, not just the salt shaker. </w:t>
            </w:r>
            <w:r>
              <w:rPr>
                <w:rFonts w:ascii="Arial" w:cs="Arial" w:eastAsia="Arial" w:hAnsi="Arial"/>
                <w:sz w:val="15"/>
                <w:szCs w:val="15"/>
              </w:rPr>
              <w:t xml:space="preserve">Most dietary sodium is hidden in processed and restaurant foods; reducing them is the most effective way to lower urinary calcium.</w:t>
            </w:r>
          </w:p>
          <w:p>
            <w:pPr>
              <w:spacing w:after="0" w:line="198"/>
            </w:pPr>
            <w:r>
              <w:rPr>
                <w:rFonts w:ascii="Arial" w:cs="Arial" w:eastAsia="Arial" w:hAnsi="Arial"/>
                <w:b/>
                <w:bCs/>
                <w:sz w:val="15"/>
                <w:szCs w:val="15"/>
              </w:rPr>
              <w:t xml:space="preserve">Keep any vitamin C supplement under 1,000 mg/day. </w:t>
            </w:r>
            <w:r>
              <w:rPr>
                <w:rFonts w:ascii="Arial" w:cs="Arial" w:eastAsia="Arial" w:hAnsi="Arial"/>
                <w:sz w:val="15"/>
                <w:szCs w:val="15"/>
              </w:rPr>
              <w:t xml:space="preserve">Higher doses raise urinary oxalate and can promote calcium-oxalate stones.</w:t>
            </w:r>
          </w:p>
        </w:tc>
      </w:tr>
    </w:tbl>
    <w:p>
      <w:pPr>
        <w:pBdr>
          <w:top w:val="single" w:color="CCCCCC" w:sz="4" w:space="1"/>
        </w:pBdr>
        <w:spacing w:before="60"/>
      </w:pPr>
      <w:r>
        <w:rPr>
          <w:rFonts w:ascii="Arial" w:cs="Arial" w:eastAsia="Arial" w:hAnsi="Arial"/>
          <w:i/>
          <w:iCs/>
          <w:color w:val="555555"/>
          <w:sz w:val="12"/>
          <w:szCs w:val="12"/>
        </w:rPr>
        <w:t xml:space="preserve">Draft for provider review. Incorporates Piedras P, et al., J Urol. 2024;211(2):276–284 (alkaline water) and current dietary-pattern evidence (DASH/Mediterranean; EAU 2024 metabolic guidance). General guidance; does not replace individualized medical advice. Updated 6/2026.</w:t>
      </w:r>
    </w:p>
    <w:sectPr>
      <w:pgSz w:w="12240" w:h="15840" w:orient="portrait"/>
      <w:pgMar w:top="470" w:right="864" w:bottom="370" w:left="86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30" w:hanging="15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7"/>
        <w:szCs w:val="17"/>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yzua5kfxmeawqfu6kwwy" Type="http://schemas.openxmlformats.org/officeDocument/2006/relationships/hyperlink" Target="https://rockymountainurology.com" TargetMode="External"/><Relationship Id="rId7" Type="http://schemas.openxmlformats.org/officeDocument/2006/relationships/image" Target="media/187bd4be345a71db6b8568e49659c2b6037ceccf.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2026-07-02T17:24:14.584Z</dcterms:created>
  <dcterms:modified xsi:type="dcterms:W3CDTF">2026-07-02T17:24:14.584Z</dcterms:modified>
</cp:coreProperties>
</file>

<file path=docProps/custom.xml><?xml version="1.0" encoding="utf-8"?>
<Properties xmlns="http://schemas.openxmlformats.org/officeDocument/2006/custom-properties" xmlns:vt="http://schemas.openxmlformats.org/officeDocument/2006/docPropsVTypes"/>
</file>