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none" w:color="FFFFFF" w:sz="0"/>
              <w:left w:val="none" w:color="FFFFFF" w:sz="0"/>
              <w:bottom w:val="none" w:color="FFFFFF" w:sz="0"/>
              <w:right w:val="none" w:color="FFFFFF" w:sz="0"/>
            </w:tcBorders>
            <w:tcMar>
              <w:top w:type="dxa" w:w="0"/>
              <w:left w:type="dxa" w:w="0"/>
              <w:bottom w:type="dxa" w:w="0"/>
              <w:right w:type="dxa" w:w="240"/>
            </w:tcMar>
            <w:vAlign w:val="center"/>
          </w:tcPr>
          <w:p>
            <w:pPr>
              <w:jc w:val="center"/>
            </w:pPr>
            <w:r>
              <w:drawing>
                <wp:inline distT="0" distB="0" distL="0" distR="0">
                  <wp:extent cx="1143000" cy="1143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143000" cy="1143000"/>
                          </a:xfrm>
                          <a:prstGeom prst="rect">
                            <a:avLst/>
                          </a:prstGeom>
                        </pic:spPr>
                      </pic:pic>
                    </a:graphicData>
                  </a:graphic>
                </wp:inline>
              </w:drawing>
            </w:r>
          </w:p>
        </w:tc>
        <w:tc>
          <w:tcPr>
            <w:tcW w:type="dxa" w:w="7160"/>
            <w:tcBorders>
              <w:top w:val="none" w:color="FFFFFF" w:sz="0"/>
              <w:left w:val="none" w:color="FFFFFF" w:sz="0"/>
              <w:bottom w:val="none" w:color="FFFFFF" w:sz="0"/>
              <w:right w:val="none" w:color="FFFFFF" w:sz="0"/>
            </w:tcBorders>
            <w:tcMar>
              <w:top w:type="dxa" w:w="0"/>
              <w:left w:type="dxa" w:w="240"/>
              <w:bottom w:type="dxa" w:w="0"/>
              <w:right w:type="dxa" w:w="0"/>
            </w:tcMar>
            <w:vAlign w:val="center"/>
          </w:tcPr>
          <w:p>
            <w:pPr>
              <w:spacing w:after="60"/>
            </w:pPr>
            <w:r>
              <w:rPr>
                <w:rFonts w:ascii="Georgia" w:cs="Georgia" w:eastAsia="Georgia" w:hAnsi="Georgia"/>
                <w:b/>
                <w:bCs/>
                <w:color w:val="1D5C3A"/>
                <w:sz w:val="52"/>
                <w:szCs w:val="52"/>
              </w:rPr>
              <w:t xml:space="preserve">PROSTATE CANCER</w:t>
            </w:r>
          </w:p>
          <w:p>
            <w:pPr>
              <w:spacing w:after="60"/>
            </w:pPr>
            <w:r>
              <w:rPr>
                <w:rFonts w:ascii="Georgia" w:cs="Georgia" w:eastAsia="Georgia" w:hAnsi="Georgia"/>
                <w:color w:val="2E7D52"/>
                <w:sz w:val="32"/>
                <w:szCs w:val="32"/>
              </w:rPr>
              <w:t xml:space="preserve">New Diagnosis Handbook</w:t>
            </w:r>
          </w:p>
          <w:p>
            <w:pPr>
              <w:pBdr>
                <w:bottom w:val="single" w:color="A07A2E" w:sz="6" w:space="4"/>
              </w:pBdr>
              <w:spacing w:after="60"/>
            </w:pPr>
            <w:r>
              <w:rPr>
                <w:rFonts w:ascii="Arial" w:cs="Arial" w:eastAsia="Arial" w:hAnsi="Arial"/>
                <w:b/>
                <w:bCs/>
                <w:color w:val="A07A2E"/>
                <w:sz w:val="24"/>
                <w:szCs w:val="24"/>
              </w:rPr>
              <w:t xml:space="preserve">Aashish Kabra, MD  |  Urologist</w:t>
            </w:r>
          </w:p>
          <w:p>
            <w:pPr>
              <w:spacing w:after="40" w:before="80"/>
            </w:pPr>
            <w:r>
              <w:rPr>
                <w:rFonts w:ascii="Arial" w:cs="Arial" w:eastAsia="Arial" w:hAnsi="Arial"/>
                <w:color w:val="555555"/>
                <w:sz w:val="22"/>
                <w:szCs w:val="22"/>
              </w:rPr>
              <w:t xml:space="preserve">Rocky Mountain Urology Center</w:t>
            </w:r>
          </w:p>
          <w:p>
            <w:pPr>
              <w:spacing w:after="40"/>
            </w:pPr>
            <w:r>
              <w:rPr>
                <w:rFonts w:ascii="Arial" w:cs="Arial" w:eastAsia="Arial" w:hAnsi="Arial"/>
                <w:color w:val="555555"/>
                <w:sz w:val="20"/>
                <w:szCs w:val="20"/>
              </w:rPr>
              <w:t xml:space="preserve">Valley View Hospital  ·  Glenwood Springs, CO</w:t>
            </w:r>
          </w:p>
          <w:p>
            <w:pPr>
              <w:spacing w:after="40"/>
            </w:pPr>
            <w:r>
              <w:rPr>
                <w:rFonts w:ascii="Arial" w:cs="Arial" w:eastAsia="Arial" w:hAnsi="Arial"/>
                <w:color w:val="555555"/>
                <w:sz w:val="20"/>
                <w:szCs w:val="20"/>
              </w:rPr>
              <w:t xml:space="preserve">970.928.0808</w:t>
            </w:r>
          </w:p>
        </w:tc>
      </w:tr>
    </w:tbl>
    <w:p>
      <w:pPr>
        <w:spacing w:after="120"/>
      </w:pPr>
    </w:p>
    <w:p>
      <w:pPr>
        <w:pBdr>
          <w:top w:val="single" w:color="1D5C3A" w:sz="8"/>
          <w:bottom w:val="single" w:color="1D5C3A" w:sz="8"/>
        </w:pBdr>
        <w:spacing w:after="120" w:before="120"/>
        <w:jc w:val="center"/>
      </w:pPr>
      <w:r>
        <w:rPr>
          <w:rFonts w:ascii="Georgia" w:cs="Georgia" w:eastAsia="Georgia" w:hAnsi="Georgia"/>
          <w:i/>
          <w:iCs/>
          <w:color w:val="2E7D52"/>
          <w:sz w:val="20"/>
          <w:szCs w:val="20"/>
        </w:rPr>
        <w:t xml:space="preserve">Understanding Your Diagnosis  ·  Your Options  ·  Your Path Forward</w:t>
      </w:r>
    </w:p>
    <w:p>
      <w:pPr>
        <w:spacing w:after="600"/>
      </w:pPr>
    </w:p>
    <w:p>
      <w:pPr>
        <w:pStyle w:val="Heading1"/>
        <w:pBdr>
          <w:bottom w:val="single" w:color="1D5C3A" w:sz="10" w:space="4"/>
        </w:pBdr>
        <w:spacing w:after="180" w:before="400"/>
      </w:pPr>
      <w:r>
        <w:rPr>
          <w:rFonts w:ascii="Georgia" w:cs="Georgia" w:eastAsia="Georgia" w:hAnsi="Georgia"/>
          <w:b/>
          <w:bCs/>
          <w:color w:val="1D5C3A"/>
          <w:sz w:val="36"/>
          <w:szCs w:val="36"/>
        </w:rPr>
        <w:t xml:space="preserve">Section 1: Understanding Your Diagnosis</w:t>
      </w:r>
    </w:p>
    <w:p>
      <w:pPr>
        <w:spacing w:after="160" w:line="340"/>
      </w:pPr>
      <w:r>
        <w:rPr>
          <w:rFonts w:ascii="Arial" w:cs="Arial" w:eastAsia="Arial" w:hAnsi="Arial"/>
          <w:color w:val="1A1A1A"/>
          <w:sz w:val="22"/>
          <w:szCs w:val="22"/>
        </w:rPr>
        <w:t xml:space="preserve">Receiving a prostate cancer diagnosis can feel overwhelming. This handbook is designed to give you clear, honest information so you can move forward with confidence, ask the right questions, and make informed decisions alongside your care team.</w:t>
      </w:r>
    </w:p>
    <w:p>
      <w:pPr>
        <w:spacing w:after="80"/>
      </w:pPr>
    </w:p>
    <w:p>
      <w:pPr>
        <w:pStyle w:val="Heading2"/>
        <w:spacing w:after="120" w:before="280"/>
      </w:pPr>
      <w:r>
        <w:rPr>
          <w:rFonts w:ascii="Georgia" w:cs="Georgia" w:eastAsia="Georgia" w:hAnsi="Georgia"/>
          <w:b/>
          <w:bCs/>
          <w:color w:val="2E7D52"/>
          <w:sz w:val="28"/>
          <w:szCs w:val="28"/>
        </w:rPr>
        <w:t xml:space="preserve">A Different Way to Think About Prostate Cancer</w:t>
      </w:r>
    </w:p>
    <w:p>
      <w:pPr>
        <w:spacing w:after="160" w:line="340"/>
      </w:pPr>
      <w:r>
        <w:rPr>
          <w:rFonts w:ascii="Arial" w:cs="Arial" w:eastAsia="Arial" w:hAnsi="Arial"/>
          <w:color w:val="1A1A1A"/>
          <w:sz w:val="22"/>
          <w:szCs w:val="22"/>
        </w:rPr>
        <w:t xml:space="preserve">The word 'cancer' can be alarming — and understandably so. But for most men, prostate cancer is better understood as a gradual disease of reproductive aging, one that is part of the natural biology of the male body as it gets older. Virtually all men, if they live long enough, will develop some degree of microscopic cellular change in the prostate.</w:t>
      </w:r>
    </w:p>
    <w:p>
      <w:pPr>
        <w:spacing w:after="160" w:line="340"/>
      </w:pPr>
      <w:r>
        <w:rPr>
          <w:rFonts w:ascii="Arial" w:cs="Arial" w:eastAsia="Arial" w:hAnsi="Arial"/>
          <w:color w:val="1A1A1A"/>
          <w:sz w:val="22"/>
          <w:szCs w:val="22"/>
        </w:rPr>
        <w:t xml:space="preserve">This does not mean it should be ignored — it means it should be understood in proper context. In the vast majority of cases, when prostate cancer is detected and appropriately staged and treated, it can be cured or managed to achieve long-term remission without meaningfully affecting your lifespan. Many men live full, active lives for decades after their diagnosis.</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BB89A" w:sz="4"/>
              <w:left w:val="single" w:color="1D5C3A" w:sz="20"/>
              <w:bottom w:val="single" w:color="7BB89A" w:sz="4"/>
              <w:right w:val="single" w:color="7BB89A" w:sz="4"/>
            </w:tcBorders>
            <w:shd w:fill="D6EAE0" w:val="clear"/>
            <w:tcMar>
              <w:top w:type="dxa" w:w="160"/>
              <w:left w:type="dxa" w:w="280"/>
              <w:bottom w:type="dxa" w:w="160"/>
              <w:right w:type="dxa" w:w="240"/>
            </w:tcMar>
          </w:tcPr>
          <w:p>
            <w:pPr>
              <w:spacing w:after="80"/>
            </w:pPr>
            <w:r>
              <w:rPr>
                <w:rFonts w:ascii="Georgia" w:cs="Georgia" w:eastAsia="Georgia" w:hAnsi="Georgia"/>
                <w:b/>
                <w:bCs/>
                <w:color w:val="1D5C3A"/>
                <w:sz w:val="22"/>
                <w:szCs w:val="22"/>
              </w:rPr>
              <w:t xml:space="preserve">The Key Message</w:t>
            </w:r>
          </w:p>
          <w:p>
            <w:pPr>
              <w:spacing w:after="80"/>
            </w:pPr>
            <w:r>
              <w:rPr>
                <w:rFonts w:ascii="Arial" w:cs="Arial" w:eastAsia="Arial" w:hAnsi="Arial"/>
                <w:color w:val="1A1A1A"/>
                <w:sz w:val="20"/>
                <w:szCs w:val="20"/>
              </w:rPr>
              <w:t xml:space="preserve">Prostate cancer diagnosed today — at any stage — is one of the most treatable cancers known to medicine.</w:t>
            </w:r>
          </w:p>
          <w:p>
            <w:pPr>
              <w:spacing w:after="80"/>
            </w:pPr>
            <w:r>
              <w:rPr>
                <w:rFonts w:ascii="Arial" w:cs="Arial" w:eastAsia="Arial" w:hAnsi="Arial"/>
                <w:color w:val="1A1A1A"/>
                <w:sz w:val="20"/>
                <w:szCs w:val="20"/>
              </w:rPr>
              <w:t xml:space="preserve">Your age, overall health, and the specific characteristics of your cancer will all guide what comes next.</w:t>
            </w:r>
          </w:p>
          <w:p>
            <w:pPr>
              <w:spacing w:after="80"/>
            </w:pPr>
            <w:r>
              <w:rPr>
                <w:rFonts w:ascii="Arial" w:cs="Arial" w:eastAsia="Arial" w:hAnsi="Arial"/>
                <w:color w:val="1A1A1A"/>
                <w:sz w:val="20"/>
                <w:szCs w:val="20"/>
              </w:rPr>
              <w:t xml:space="preserve">There is rarely a need to rush. You have time to understand your options and make thoughtful decisions.</w:t>
            </w:r>
          </w:p>
        </w:tc>
      </w:tr>
    </w:tbl>
    <w:p>
      <w:pPr>
        <w:spacing w:after="200"/>
      </w:pPr>
    </w:p>
    <w:p>
      <w:pPr>
        <w:pStyle w:val="Heading1"/>
        <w:pBdr>
          <w:bottom w:val="single" w:color="1D5C3A" w:sz="10" w:space="4"/>
        </w:pBdr>
        <w:spacing w:after="180" w:before="400"/>
      </w:pPr>
      <w:r>
        <w:rPr>
          <w:rFonts w:ascii="Georgia" w:cs="Georgia" w:eastAsia="Georgia" w:hAnsi="Georgia"/>
          <w:b/>
          <w:bCs/>
          <w:color w:val="1D5C3A"/>
          <w:sz w:val="36"/>
          <w:szCs w:val="36"/>
        </w:rPr>
        <w:t xml:space="preserve">Section 2: The Gleason Scoring System</w:t>
      </w:r>
    </w:p>
    <w:p>
      <w:pPr>
        <w:spacing w:after="160" w:line="340"/>
      </w:pPr>
      <w:r>
        <w:rPr>
          <w:rFonts w:ascii="Arial" w:cs="Arial" w:eastAsia="Arial" w:hAnsi="Arial"/>
          <w:color w:val="1A1A1A"/>
          <w:sz w:val="22"/>
          <w:szCs w:val="22"/>
        </w:rPr>
        <w:t xml:space="preserve">When your biopsy was performed, a pathologist examined the tissue samples under a microscope and assigned what is called a Gleason score. This score is one of the most important tools we use to understand the behavior of your cancer.</w:t>
      </w:r>
    </w:p>
    <w:p>
      <w:pPr>
        <w:spacing w:after="80"/>
      </w:pPr>
    </w:p>
    <w:p>
      <w:pPr>
        <w:pStyle w:val="Heading2"/>
        <w:spacing w:after="120" w:before="280"/>
      </w:pPr>
      <w:r>
        <w:rPr>
          <w:rFonts w:ascii="Georgia" w:cs="Georgia" w:eastAsia="Georgia" w:hAnsi="Georgia"/>
          <w:b/>
          <w:bCs/>
          <w:color w:val="2E7D52"/>
          <w:sz w:val="28"/>
          <w:szCs w:val="28"/>
        </w:rPr>
        <w:t xml:space="preserve">How Gleason Scoring Works</w:t>
      </w:r>
    </w:p>
    <w:p>
      <w:pPr>
        <w:spacing w:after="160" w:line="340"/>
      </w:pPr>
      <w:r>
        <w:rPr>
          <w:rFonts w:ascii="Arial" w:cs="Arial" w:eastAsia="Arial" w:hAnsi="Arial"/>
          <w:color w:val="1A1A1A"/>
          <w:sz w:val="22"/>
          <w:szCs w:val="22"/>
        </w:rPr>
        <w:t xml:space="preserve">The Gleason system is based on the pattern, shape, and microscopic architecture of the cancer cells. Normal, healthy prostate cells are organized and uniform. Cancer cells begin to lose that organization — and the degree to which they do so tells us a great deal about aggressiveness.</w:t>
      </w:r>
    </w:p>
    <w:p>
      <w:pPr>
        <w:spacing w:after="160" w:line="340"/>
      </w:pPr>
      <w:r>
        <w:rPr>
          <w:rFonts w:ascii="Arial" w:cs="Arial" w:eastAsia="Arial" w:hAnsi="Arial"/>
          <w:color w:val="1A1A1A"/>
          <w:sz w:val="22"/>
          <w:szCs w:val="22"/>
        </w:rPr>
        <w:t xml:space="preserve">A pathologist assigns a grade (1 through 5) to the two most common cell patterns seen in your biopsy. These two grades are added together to give the Gleason score. More recently, this has been further simplified into Grade Groups (1 through 5) to make risk communication clearer:</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200"/>
        <w:gridCol w:w="2000"/>
        <w:gridCol w:w="3360"/>
      </w:tblGrid>
      <w:tr>
        <w:trPr>
          <w:tblHeader/>
        </w:trPr>
        <w:tc>
          <w:tcPr>
            <w:tcW w:type="dxa" w:w="1800"/>
            <w:tcBorders>
              <w:top w:val="single" w:color="1D5C3A" w:sz="4"/>
              <w:left w:val="single" w:color="1D5C3A" w:sz="4"/>
              <w:bottom w:val="single" w:color="1D5C3A" w:sz="4"/>
              <w:right w:val="single" w:color="1D5C3A" w:sz="4"/>
            </w:tcBorders>
            <w:shd w:fill="1D5C3A" w:val="clear"/>
            <w:tcMar>
              <w:top w:type="dxa" w:w="80"/>
              <w:left w:type="dxa" w:w="120"/>
              <w:bottom w:type="dxa" w:w="80"/>
              <w:right w:type="dxa" w:w="120"/>
            </w:tcMar>
          </w:tcPr>
          <w:p>
            <w:r>
              <w:rPr>
                <w:rFonts w:ascii="Arial" w:cs="Arial" w:eastAsia="Arial" w:hAnsi="Arial"/>
                <w:b/>
                <w:bCs/>
                <w:color w:val="FFFFFF"/>
                <w:sz w:val="20"/>
                <w:szCs w:val="20"/>
              </w:rPr>
              <w:t xml:space="preserve">Grade Group</w:t>
            </w:r>
          </w:p>
        </w:tc>
        <w:tc>
          <w:tcPr>
            <w:tcW w:type="dxa" w:w="2200"/>
            <w:tcBorders>
              <w:top w:val="single" w:color="1D5C3A" w:sz="4"/>
              <w:left w:val="single" w:color="1D5C3A" w:sz="4"/>
              <w:bottom w:val="single" w:color="1D5C3A" w:sz="4"/>
              <w:right w:val="single" w:color="1D5C3A" w:sz="4"/>
            </w:tcBorders>
            <w:shd w:fill="1D5C3A" w:val="clear"/>
            <w:tcMar>
              <w:top w:type="dxa" w:w="80"/>
              <w:left w:type="dxa" w:w="120"/>
              <w:bottom w:type="dxa" w:w="80"/>
              <w:right w:type="dxa" w:w="120"/>
            </w:tcMar>
          </w:tcPr>
          <w:p>
            <w:r>
              <w:rPr>
                <w:rFonts w:ascii="Arial" w:cs="Arial" w:eastAsia="Arial" w:hAnsi="Arial"/>
                <w:b/>
                <w:bCs/>
                <w:color w:val="FFFFFF"/>
                <w:sz w:val="20"/>
                <w:szCs w:val="20"/>
              </w:rPr>
              <w:t xml:space="preserve">Gleason Score</w:t>
            </w:r>
          </w:p>
        </w:tc>
        <w:tc>
          <w:tcPr>
            <w:tcW w:type="dxa" w:w="2000"/>
            <w:tcBorders>
              <w:top w:val="single" w:color="1D5C3A" w:sz="4"/>
              <w:left w:val="single" w:color="1D5C3A" w:sz="4"/>
              <w:bottom w:val="single" w:color="1D5C3A" w:sz="4"/>
              <w:right w:val="single" w:color="1D5C3A" w:sz="4"/>
            </w:tcBorders>
            <w:shd w:fill="1D5C3A" w:val="clear"/>
            <w:tcMar>
              <w:top w:type="dxa" w:w="80"/>
              <w:left w:type="dxa" w:w="120"/>
              <w:bottom w:type="dxa" w:w="80"/>
              <w:right w:type="dxa" w:w="120"/>
            </w:tcMar>
          </w:tcPr>
          <w:p>
            <w:r>
              <w:rPr>
                <w:rFonts w:ascii="Arial" w:cs="Arial" w:eastAsia="Arial" w:hAnsi="Arial"/>
                <w:b/>
                <w:bCs/>
                <w:color w:val="FFFFFF"/>
                <w:sz w:val="20"/>
                <w:szCs w:val="20"/>
              </w:rPr>
              <w:t xml:space="preserve">Risk Category</w:t>
            </w:r>
          </w:p>
        </w:tc>
        <w:tc>
          <w:tcPr>
            <w:tcW w:type="dxa" w:w="3360"/>
            <w:tcBorders>
              <w:top w:val="single" w:color="1D5C3A" w:sz="4"/>
              <w:left w:val="single" w:color="1D5C3A" w:sz="4"/>
              <w:bottom w:val="single" w:color="1D5C3A" w:sz="4"/>
              <w:right w:val="single" w:color="1D5C3A" w:sz="4"/>
            </w:tcBorders>
            <w:shd w:fill="1D5C3A" w:val="clear"/>
            <w:tcMar>
              <w:top w:type="dxa" w:w="80"/>
              <w:left w:type="dxa" w:w="120"/>
              <w:bottom w:type="dxa" w:w="80"/>
              <w:right w:type="dxa" w:w="120"/>
            </w:tcMar>
          </w:tcPr>
          <w:p>
            <w:r>
              <w:rPr>
                <w:rFonts w:ascii="Arial" w:cs="Arial" w:eastAsia="Arial" w:hAnsi="Arial"/>
                <w:b/>
                <w:bCs/>
                <w:color w:val="FFFFFF"/>
                <w:sz w:val="20"/>
                <w:szCs w:val="20"/>
              </w:rPr>
              <w:t xml:space="preserve">Clinical Context</w:t>
            </w:r>
          </w:p>
        </w:tc>
      </w:tr>
      <w:tr>
        <w:tc>
          <w:tcPr>
            <w:tcW w:type="dxa" w:w="1800"/>
            <w:tcBorders>
              <w:top w:val="single" w:color="7BB89A" w:sz="4"/>
              <w:left w:val="single" w:color="7BB89A" w:sz="4"/>
              <w:bottom w:val="single" w:color="7BB89A" w:sz="4"/>
              <w:right w:val="single" w:color="7BB89A" w:sz="4"/>
            </w:tcBorders>
            <w:shd w:fill="FFFFFF" w:val="clear"/>
            <w:tcMar>
              <w:top w:type="dxa" w:w="80"/>
              <w:left w:type="dxa" w:w="120"/>
              <w:bottom w:type="dxa" w:w="80"/>
              <w:right w:type="dxa" w:w="120"/>
            </w:tcMar>
          </w:tcPr>
          <w:p>
            <w:r>
              <w:rPr>
                <w:rFonts w:ascii="Arial" w:cs="Arial" w:eastAsia="Arial" w:hAnsi="Arial"/>
                <w:color w:val="1A1A1A"/>
                <w:sz w:val="20"/>
                <w:szCs w:val="20"/>
              </w:rPr>
              <w:t xml:space="preserve">Grade Group 1</w:t>
            </w:r>
          </w:p>
        </w:tc>
        <w:tc>
          <w:tcPr>
            <w:tcW w:type="dxa" w:w="2200"/>
            <w:tcBorders>
              <w:top w:val="single" w:color="7BB89A" w:sz="4"/>
              <w:left w:val="single" w:color="7BB89A" w:sz="4"/>
              <w:bottom w:val="single" w:color="7BB89A" w:sz="4"/>
              <w:right w:val="single" w:color="7BB89A" w:sz="4"/>
            </w:tcBorders>
            <w:shd w:fill="FFFFFF" w:val="clear"/>
            <w:tcMar>
              <w:top w:type="dxa" w:w="80"/>
              <w:left w:type="dxa" w:w="120"/>
              <w:bottom w:type="dxa" w:w="80"/>
              <w:right w:type="dxa" w:w="120"/>
            </w:tcMar>
          </w:tcPr>
          <w:p>
            <w:r>
              <w:rPr>
                <w:rFonts w:ascii="Arial" w:cs="Arial" w:eastAsia="Arial" w:hAnsi="Arial"/>
                <w:color w:val="1A1A1A"/>
                <w:sz w:val="20"/>
                <w:szCs w:val="20"/>
              </w:rPr>
              <w:t xml:space="preserve">Gleason 6 (3+3)</w:t>
            </w:r>
          </w:p>
        </w:tc>
        <w:tc>
          <w:tcPr>
            <w:tcW w:type="dxa" w:w="2000"/>
            <w:tcBorders>
              <w:top w:val="single" w:color="7BB89A" w:sz="4"/>
              <w:left w:val="single" w:color="7BB89A" w:sz="4"/>
              <w:bottom w:val="single" w:color="7BB89A" w:sz="4"/>
              <w:right w:val="single" w:color="7BB89A" w:sz="4"/>
            </w:tcBorders>
            <w:shd w:fill="FFFFFF" w:val="clear"/>
            <w:tcMar>
              <w:top w:type="dxa" w:w="80"/>
              <w:left w:type="dxa" w:w="120"/>
              <w:bottom w:type="dxa" w:w="80"/>
              <w:right w:type="dxa" w:w="120"/>
            </w:tcMar>
          </w:tcPr>
          <w:p>
            <w:r>
              <w:rPr>
                <w:rFonts w:ascii="Arial" w:cs="Arial" w:eastAsia="Arial" w:hAnsi="Arial"/>
                <w:color w:val="1A1A1A"/>
                <w:sz w:val="20"/>
                <w:szCs w:val="20"/>
              </w:rPr>
              <w:t xml:space="preserve">Low</w:t>
            </w:r>
          </w:p>
        </w:tc>
        <w:tc>
          <w:tcPr>
            <w:tcW w:type="dxa" w:w="3360"/>
            <w:tcBorders>
              <w:top w:val="single" w:color="7BB89A" w:sz="4"/>
              <w:left w:val="single" w:color="7BB89A" w:sz="4"/>
              <w:bottom w:val="single" w:color="7BB89A" w:sz="4"/>
              <w:right w:val="single" w:color="7BB89A" w:sz="4"/>
            </w:tcBorders>
            <w:shd w:fill="FFFFFF" w:val="clear"/>
            <w:tcMar>
              <w:top w:type="dxa" w:w="80"/>
              <w:left w:type="dxa" w:w="120"/>
              <w:bottom w:type="dxa" w:w="80"/>
              <w:right w:type="dxa" w:w="120"/>
            </w:tcMar>
          </w:tcPr>
          <w:p>
            <w:r>
              <w:rPr>
                <w:rFonts w:ascii="Arial" w:cs="Arial" w:eastAsia="Arial" w:hAnsi="Arial"/>
                <w:color w:val="1A1A1A"/>
                <w:sz w:val="20"/>
                <w:szCs w:val="20"/>
              </w:rPr>
              <w:t xml:space="preserve">Very favorable; often eligible for surveillance</w:t>
            </w:r>
          </w:p>
        </w:tc>
      </w:tr>
      <w:tr>
        <w:tc>
          <w:tcPr>
            <w:tcW w:type="dxa" w:w="1800"/>
            <w:tcBorders>
              <w:top w:val="single" w:color="7BB89A" w:sz="4"/>
              <w:left w:val="single" w:color="7BB89A" w:sz="4"/>
              <w:bottom w:val="single" w:color="7BB89A" w:sz="4"/>
              <w:right w:val="single" w:color="7BB89A" w:sz="4"/>
            </w:tcBorders>
            <w:shd w:fill="EDF5F0" w:val="clear"/>
            <w:tcMar>
              <w:top w:type="dxa" w:w="80"/>
              <w:left w:type="dxa" w:w="120"/>
              <w:bottom w:type="dxa" w:w="80"/>
              <w:right w:type="dxa" w:w="120"/>
            </w:tcMar>
          </w:tcPr>
          <w:p>
            <w:r>
              <w:rPr>
                <w:rFonts w:ascii="Arial" w:cs="Arial" w:eastAsia="Arial" w:hAnsi="Arial"/>
                <w:color w:val="1A1A1A"/>
                <w:sz w:val="20"/>
                <w:szCs w:val="20"/>
              </w:rPr>
              <w:t xml:space="preserve">Grade Group 2</w:t>
            </w:r>
          </w:p>
        </w:tc>
        <w:tc>
          <w:tcPr>
            <w:tcW w:type="dxa" w:w="2200"/>
            <w:tcBorders>
              <w:top w:val="single" w:color="7BB89A" w:sz="4"/>
              <w:left w:val="single" w:color="7BB89A" w:sz="4"/>
              <w:bottom w:val="single" w:color="7BB89A" w:sz="4"/>
              <w:right w:val="single" w:color="7BB89A" w:sz="4"/>
            </w:tcBorders>
            <w:shd w:fill="EDF5F0" w:val="clear"/>
            <w:tcMar>
              <w:top w:type="dxa" w:w="80"/>
              <w:left w:type="dxa" w:w="120"/>
              <w:bottom w:type="dxa" w:w="80"/>
              <w:right w:type="dxa" w:w="120"/>
            </w:tcMar>
          </w:tcPr>
          <w:p>
            <w:r>
              <w:rPr>
                <w:rFonts w:ascii="Arial" w:cs="Arial" w:eastAsia="Arial" w:hAnsi="Arial"/>
                <w:color w:val="1A1A1A"/>
                <w:sz w:val="20"/>
                <w:szCs w:val="20"/>
              </w:rPr>
              <w:t xml:space="preserve">Gleason 7 (3+4)</w:t>
            </w:r>
          </w:p>
        </w:tc>
        <w:tc>
          <w:tcPr>
            <w:tcW w:type="dxa" w:w="2000"/>
            <w:tcBorders>
              <w:top w:val="single" w:color="7BB89A" w:sz="4"/>
              <w:left w:val="single" w:color="7BB89A" w:sz="4"/>
              <w:bottom w:val="single" w:color="7BB89A" w:sz="4"/>
              <w:right w:val="single" w:color="7BB89A" w:sz="4"/>
            </w:tcBorders>
            <w:shd w:fill="EDF5F0" w:val="clear"/>
            <w:tcMar>
              <w:top w:type="dxa" w:w="80"/>
              <w:left w:type="dxa" w:w="120"/>
              <w:bottom w:type="dxa" w:w="80"/>
              <w:right w:type="dxa" w:w="120"/>
            </w:tcMar>
          </w:tcPr>
          <w:p>
            <w:r>
              <w:rPr>
                <w:rFonts w:ascii="Arial" w:cs="Arial" w:eastAsia="Arial" w:hAnsi="Arial"/>
                <w:color w:val="1A1A1A"/>
                <w:sz w:val="20"/>
                <w:szCs w:val="20"/>
              </w:rPr>
              <w:t xml:space="preserve">Intermediate-Favorable</w:t>
            </w:r>
          </w:p>
        </w:tc>
        <w:tc>
          <w:tcPr>
            <w:tcW w:type="dxa" w:w="3360"/>
            <w:tcBorders>
              <w:top w:val="single" w:color="7BB89A" w:sz="4"/>
              <w:left w:val="single" w:color="7BB89A" w:sz="4"/>
              <w:bottom w:val="single" w:color="7BB89A" w:sz="4"/>
              <w:right w:val="single" w:color="7BB89A" w:sz="4"/>
            </w:tcBorders>
            <w:shd w:fill="EDF5F0" w:val="clear"/>
            <w:tcMar>
              <w:top w:type="dxa" w:w="80"/>
              <w:left w:type="dxa" w:w="120"/>
              <w:bottom w:type="dxa" w:w="80"/>
              <w:right w:type="dxa" w:w="120"/>
            </w:tcMar>
          </w:tcPr>
          <w:p>
            <w:r>
              <w:rPr>
                <w:rFonts w:ascii="Arial" w:cs="Arial" w:eastAsia="Arial" w:hAnsi="Arial"/>
                <w:color w:val="1A1A1A"/>
                <w:sz w:val="20"/>
                <w:szCs w:val="20"/>
              </w:rPr>
              <w:t xml:space="preserve">Dominant pattern is well-organized</w:t>
            </w:r>
          </w:p>
        </w:tc>
      </w:tr>
      <w:tr>
        <w:tc>
          <w:tcPr>
            <w:tcW w:type="dxa" w:w="1800"/>
            <w:tcBorders>
              <w:top w:val="single" w:color="7BB89A" w:sz="4"/>
              <w:left w:val="single" w:color="7BB89A" w:sz="4"/>
              <w:bottom w:val="single" w:color="7BB89A" w:sz="4"/>
              <w:right w:val="single" w:color="7BB89A" w:sz="4"/>
            </w:tcBorders>
            <w:shd w:fill="FFFFFF" w:val="clear"/>
            <w:tcMar>
              <w:top w:type="dxa" w:w="80"/>
              <w:left w:type="dxa" w:w="120"/>
              <w:bottom w:type="dxa" w:w="80"/>
              <w:right w:type="dxa" w:w="120"/>
            </w:tcMar>
          </w:tcPr>
          <w:p>
            <w:r>
              <w:rPr>
                <w:rFonts w:ascii="Arial" w:cs="Arial" w:eastAsia="Arial" w:hAnsi="Arial"/>
                <w:color w:val="1A1A1A"/>
                <w:sz w:val="20"/>
                <w:szCs w:val="20"/>
              </w:rPr>
              <w:t xml:space="preserve">Grade Group 3</w:t>
            </w:r>
          </w:p>
        </w:tc>
        <w:tc>
          <w:tcPr>
            <w:tcW w:type="dxa" w:w="2200"/>
            <w:tcBorders>
              <w:top w:val="single" w:color="7BB89A" w:sz="4"/>
              <w:left w:val="single" w:color="7BB89A" w:sz="4"/>
              <w:bottom w:val="single" w:color="7BB89A" w:sz="4"/>
              <w:right w:val="single" w:color="7BB89A" w:sz="4"/>
            </w:tcBorders>
            <w:shd w:fill="FFFFFF" w:val="clear"/>
            <w:tcMar>
              <w:top w:type="dxa" w:w="80"/>
              <w:left w:type="dxa" w:w="120"/>
              <w:bottom w:type="dxa" w:w="80"/>
              <w:right w:type="dxa" w:w="120"/>
            </w:tcMar>
          </w:tcPr>
          <w:p>
            <w:r>
              <w:rPr>
                <w:rFonts w:ascii="Arial" w:cs="Arial" w:eastAsia="Arial" w:hAnsi="Arial"/>
                <w:color w:val="1A1A1A"/>
                <w:sz w:val="20"/>
                <w:szCs w:val="20"/>
              </w:rPr>
              <w:t xml:space="preserve">Gleason 7 (4+3)</w:t>
            </w:r>
          </w:p>
        </w:tc>
        <w:tc>
          <w:tcPr>
            <w:tcW w:type="dxa" w:w="2000"/>
            <w:tcBorders>
              <w:top w:val="single" w:color="7BB89A" w:sz="4"/>
              <w:left w:val="single" w:color="7BB89A" w:sz="4"/>
              <w:bottom w:val="single" w:color="7BB89A" w:sz="4"/>
              <w:right w:val="single" w:color="7BB89A" w:sz="4"/>
            </w:tcBorders>
            <w:shd w:fill="FFFFFF" w:val="clear"/>
            <w:tcMar>
              <w:top w:type="dxa" w:w="80"/>
              <w:left w:type="dxa" w:w="120"/>
              <w:bottom w:type="dxa" w:w="80"/>
              <w:right w:type="dxa" w:w="120"/>
            </w:tcMar>
          </w:tcPr>
          <w:p>
            <w:r>
              <w:rPr>
                <w:rFonts w:ascii="Arial" w:cs="Arial" w:eastAsia="Arial" w:hAnsi="Arial"/>
                <w:color w:val="1A1A1A"/>
                <w:sz w:val="20"/>
                <w:szCs w:val="20"/>
              </w:rPr>
              <w:t xml:space="preserve">Intermediate-Unfavorable</w:t>
            </w:r>
          </w:p>
        </w:tc>
        <w:tc>
          <w:tcPr>
            <w:tcW w:type="dxa" w:w="3360"/>
            <w:tcBorders>
              <w:top w:val="single" w:color="7BB89A" w:sz="4"/>
              <w:left w:val="single" w:color="7BB89A" w:sz="4"/>
              <w:bottom w:val="single" w:color="7BB89A" w:sz="4"/>
              <w:right w:val="single" w:color="7BB89A" w:sz="4"/>
            </w:tcBorders>
            <w:shd w:fill="FFFFFF" w:val="clear"/>
            <w:tcMar>
              <w:top w:type="dxa" w:w="80"/>
              <w:left w:type="dxa" w:w="120"/>
              <w:bottom w:type="dxa" w:w="80"/>
              <w:right w:type="dxa" w:w="120"/>
            </w:tcMar>
          </w:tcPr>
          <w:p>
            <w:r>
              <w:rPr>
                <w:rFonts w:ascii="Arial" w:cs="Arial" w:eastAsia="Arial" w:hAnsi="Arial"/>
                <w:color w:val="1A1A1A"/>
                <w:sz w:val="20"/>
                <w:szCs w:val="20"/>
              </w:rPr>
              <w:t xml:space="preserve">Dominant pattern is more disorganized</w:t>
            </w:r>
          </w:p>
        </w:tc>
      </w:tr>
      <w:tr>
        <w:tc>
          <w:tcPr>
            <w:tcW w:type="dxa" w:w="1800"/>
            <w:tcBorders>
              <w:top w:val="single" w:color="7BB89A" w:sz="4"/>
              <w:left w:val="single" w:color="7BB89A" w:sz="4"/>
              <w:bottom w:val="single" w:color="7BB89A" w:sz="4"/>
              <w:right w:val="single" w:color="7BB89A" w:sz="4"/>
            </w:tcBorders>
            <w:shd w:fill="EDF5F0" w:val="clear"/>
            <w:tcMar>
              <w:top w:type="dxa" w:w="80"/>
              <w:left w:type="dxa" w:w="120"/>
              <w:bottom w:type="dxa" w:w="80"/>
              <w:right w:type="dxa" w:w="120"/>
            </w:tcMar>
          </w:tcPr>
          <w:p>
            <w:r>
              <w:rPr>
                <w:rFonts w:ascii="Arial" w:cs="Arial" w:eastAsia="Arial" w:hAnsi="Arial"/>
                <w:color w:val="1A1A1A"/>
                <w:sz w:val="20"/>
                <w:szCs w:val="20"/>
              </w:rPr>
              <w:t xml:space="preserve">Grade Group 4</w:t>
            </w:r>
          </w:p>
        </w:tc>
        <w:tc>
          <w:tcPr>
            <w:tcW w:type="dxa" w:w="2200"/>
            <w:tcBorders>
              <w:top w:val="single" w:color="7BB89A" w:sz="4"/>
              <w:left w:val="single" w:color="7BB89A" w:sz="4"/>
              <w:bottom w:val="single" w:color="7BB89A" w:sz="4"/>
              <w:right w:val="single" w:color="7BB89A" w:sz="4"/>
            </w:tcBorders>
            <w:shd w:fill="EDF5F0" w:val="clear"/>
            <w:tcMar>
              <w:top w:type="dxa" w:w="80"/>
              <w:left w:type="dxa" w:w="120"/>
              <w:bottom w:type="dxa" w:w="80"/>
              <w:right w:type="dxa" w:w="120"/>
            </w:tcMar>
          </w:tcPr>
          <w:p>
            <w:r>
              <w:rPr>
                <w:rFonts w:ascii="Arial" w:cs="Arial" w:eastAsia="Arial" w:hAnsi="Arial"/>
                <w:color w:val="1A1A1A"/>
                <w:sz w:val="20"/>
                <w:szCs w:val="20"/>
              </w:rPr>
              <w:t xml:space="preserve">Gleason 8 (4+4)</w:t>
            </w:r>
          </w:p>
        </w:tc>
        <w:tc>
          <w:tcPr>
            <w:tcW w:type="dxa" w:w="2000"/>
            <w:tcBorders>
              <w:top w:val="single" w:color="7BB89A" w:sz="4"/>
              <w:left w:val="single" w:color="7BB89A" w:sz="4"/>
              <w:bottom w:val="single" w:color="7BB89A" w:sz="4"/>
              <w:right w:val="single" w:color="7BB89A" w:sz="4"/>
            </w:tcBorders>
            <w:shd w:fill="EDF5F0" w:val="clear"/>
            <w:tcMar>
              <w:top w:type="dxa" w:w="80"/>
              <w:left w:type="dxa" w:w="120"/>
              <w:bottom w:type="dxa" w:w="80"/>
              <w:right w:type="dxa" w:w="120"/>
            </w:tcMar>
          </w:tcPr>
          <w:p>
            <w:r>
              <w:rPr>
                <w:rFonts w:ascii="Arial" w:cs="Arial" w:eastAsia="Arial" w:hAnsi="Arial"/>
                <w:color w:val="1A1A1A"/>
                <w:sz w:val="20"/>
                <w:szCs w:val="20"/>
              </w:rPr>
              <w:t xml:space="preserve">High</w:t>
            </w:r>
          </w:p>
        </w:tc>
        <w:tc>
          <w:tcPr>
            <w:tcW w:type="dxa" w:w="3360"/>
            <w:tcBorders>
              <w:top w:val="single" w:color="7BB89A" w:sz="4"/>
              <w:left w:val="single" w:color="7BB89A" w:sz="4"/>
              <w:bottom w:val="single" w:color="7BB89A" w:sz="4"/>
              <w:right w:val="single" w:color="7BB89A" w:sz="4"/>
            </w:tcBorders>
            <w:shd w:fill="EDF5F0" w:val="clear"/>
            <w:tcMar>
              <w:top w:type="dxa" w:w="80"/>
              <w:left w:type="dxa" w:w="120"/>
              <w:bottom w:type="dxa" w:w="80"/>
              <w:right w:type="dxa" w:w="120"/>
            </w:tcMar>
          </w:tcPr>
          <w:p>
            <w:r>
              <w:rPr>
                <w:rFonts w:ascii="Arial" w:cs="Arial" w:eastAsia="Arial" w:hAnsi="Arial"/>
                <w:color w:val="1A1A1A"/>
                <w:sz w:val="20"/>
                <w:szCs w:val="20"/>
              </w:rPr>
              <w:t xml:space="preserve">Requires more aggressive management</w:t>
            </w:r>
          </w:p>
        </w:tc>
      </w:tr>
      <w:tr>
        <w:tc>
          <w:tcPr>
            <w:tcW w:type="dxa" w:w="1800"/>
            <w:tcBorders>
              <w:top w:val="single" w:color="7BB89A" w:sz="4"/>
              <w:left w:val="single" w:color="7BB89A" w:sz="4"/>
              <w:bottom w:val="single" w:color="7BB89A" w:sz="4"/>
              <w:right w:val="single" w:color="7BB89A" w:sz="4"/>
            </w:tcBorders>
            <w:shd w:fill="FFFFFF" w:val="clear"/>
            <w:tcMar>
              <w:top w:type="dxa" w:w="80"/>
              <w:left w:type="dxa" w:w="120"/>
              <w:bottom w:type="dxa" w:w="80"/>
              <w:right w:type="dxa" w:w="120"/>
            </w:tcMar>
          </w:tcPr>
          <w:p>
            <w:r>
              <w:rPr>
                <w:rFonts w:ascii="Arial" w:cs="Arial" w:eastAsia="Arial" w:hAnsi="Arial"/>
                <w:color w:val="1A1A1A"/>
                <w:sz w:val="20"/>
                <w:szCs w:val="20"/>
              </w:rPr>
              <w:t xml:space="preserve">Grade Group 5</w:t>
            </w:r>
          </w:p>
        </w:tc>
        <w:tc>
          <w:tcPr>
            <w:tcW w:type="dxa" w:w="2200"/>
            <w:tcBorders>
              <w:top w:val="single" w:color="7BB89A" w:sz="4"/>
              <w:left w:val="single" w:color="7BB89A" w:sz="4"/>
              <w:bottom w:val="single" w:color="7BB89A" w:sz="4"/>
              <w:right w:val="single" w:color="7BB89A" w:sz="4"/>
            </w:tcBorders>
            <w:shd w:fill="FFFFFF" w:val="clear"/>
            <w:tcMar>
              <w:top w:type="dxa" w:w="80"/>
              <w:left w:type="dxa" w:w="120"/>
              <w:bottom w:type="dxa" w:w="80"/>
              <w:right w:type="dxa" w:w="120"/>
            </w:tcMar>
          </w:tcPr>
          <w:p>
            <w:r>
              <w:rPr>
                <w:rFonts w:ascii="Arial" w:cs="Arial" w:eastAsia="Arial" w:hAnsi="Arial"/>
                <w:color w:val="1A1A1A"/>
                <w:sz w:val="20"/>
                <w:szCs w:val="20"/>
              </w:rPr>
              <w:t xml:space="preserve">Gleason 9–10</w:t>
            </w:r>
          </w:p>
        </w:tc>
        <w:tc>
          <w:tcPr>
            <w:tcW w:type="dxa" w:w="2000"/>
            <w:tcBorders>
              <w:top w:val="single" w:color="7BB89A" w:sz="4"/>
              <w:left w:val="single" w:color="7BB89A" w:sz="4"/>
              <w:bottom w:val="single" w:color="7BB89A" w:sz="4"/>
              <w:right w:val="single" w:color="7BB89A" w:sz="4"/>
            </w:tcBorders>
            <w:shd w:fill="FFFFFF" w:val="clear"/>
            <w:tcMar>
              <w:top w:type="dxa" w:w="80"/>
              <w:left w:type="dxa" w:w="120"/>
              <w:bottom w:type="dxa" w:w="80"/>
              <w:right w:type="dxa" w:w="120"/>
            </w:tcMar>
          </w:tcPr>
          <w:p>
            <w:r>
              <w:rPr>
                <w:rFonts w:ascii="Arial" w:cs="Arial" w:eastAsia="Arial" w:hAnsi="Arial"/>
                <w:color w:val="1A1A1A"/>
                <w:sz w:val="20"/>
                <w:szCs w:val="20"/>
              </w:rPr>
              <w:t xml:space="preserve">Very High</w:t>
            </w:r>
          </w:p>
        </w:tc>
        <w:tc>
          <w:tcPr>
            <w:tcW w:type="dxa" w:w="3360"/>
            <w:tcBorders>
              <w:top w:val="single" w:color="7BB89A" w:sz="4"/>
              <w:left w:val="single" w:color="7BB89A" w:sz="4"/>
              <w:bottom w:val="single" w:color="7BB89A" w:sz="4"/>
              <w:right w:val="single" w:color="7BB89A" w:sz="4"/>
            </w:tcBorders>
            <w:shd w:fill="FFFFFF" w:val="clear"/>
            <w:tcMar>
              <w:top w:type="dxa" w:w="80"/>
              <w:left w:type="dxa" w:w="120"/>
              <w:bottom w:type="dxa" w:w="80"/>
              <w:right w:type="dxa" w:w="120"/>
            </w:tcMar>
          </w:tcPr>
          <w:p>
            <w:r>
              <w:rPr>
                <w:rFonts w:ascii="Arial" w:cs="Arial" w:eastAsia="Arial" w:hAnsi="Arial"/>
                <w:color w:val="1A1A1A"/>
                <w:sz w:val="20"/>
                <w:szCs w:val="20"/>
              </w:rPr>
              <w:t xml:space="preserve">Most aggressive; multidisciplinary planning</w:t>
            </w:r>
          </w:p>
        </w:tc>
      </w:tr>
    </w:tbl>
    <w:p>
      <w:pPr>
        <w:spacing w:after="160"/>
      </w:pPr>
    </w:p>
    <w:p>
      <w:pPr>
        <w:spacing w:after="160" w:line="340"/>
      </w:pPr>
      <w:r>
        <w:rPr>
          <w:rFonts w:ascii="Arial" w:cs="Arial" w:eastAsia="Arial" w:hAnsi="Arial"/>
          <w:color w:val="1A1A1A"/>
          <w:sz w:val="22"/>
          <w:szCs w:val="22"/>
        </w:rPr>
      </w:r>
      <w:r>
        <w:rPr>
          <w:rFonts w:ascii="Arial" w:cs="Arial" w:eastAsia="Arial" w:hAnsi="Arial"/>
          <w:color w:val="1A1A1A"/>
          <w:sz w:val="22"/>
          <w:szCs w:val="22"/>
        </w:rPr>
      </w:r>
      <w:r>
        <w:rPr>
          <w:rFonts w:ascii="Arial" w:cs="Arial" w:eastAsia="Arial" w:hAnsi="Arial"/>
          <w:color w:val="1A1A1A"/>
          <w:sz w:val="22"/>
          <w:szCs w:val="22"/>
        </w:rPr>
      </w:r>
      <w:r>
        <w:rPr>
          <w:rFonts w:ascii="Arial" w:cs="Arial" w:eastAsia="Arial" w:hAnsi="Arial"/>
          <w:color w:val="1A1A1A"/>
          <w:sz w:val="22"/>
          <w:szCs w:val="22"/>
        </w:rPr>
      </w:r>
    </w:p>
    <w:p>
      <w:pPr>
        <w:spacing w:after="200"/>
      </w:pPr>
    </w:p>
    <w:p>
      <w:pPr>
        <w:pStyle w:val="Heading1"/>
        <w:pBdr>
          <w:bottom w:val="single" w:color="1D5C3A" w:sz="10" w:space="4"/>
        </w:pBdr>
        <w:spacing w:after="180" w:before="400"/>
      </w:pPr>
      <w:r>
        <w:rPr>
          <w:rFonts w:ascii="Georgia" w:cs="Georgia" w:eastAsia="Georgia" w:hAnsi="Georgia"/>
          <w:b/>
          <w:bCs/>
          <w:color w:val="1D5C3A"/>
          <w:sz w:val="36"/>
          <w:szCs w:val="36"/>
        </w:rPr>
        <w:t xml:space="preserve">Section 3: Putting It All in Context — Treat or Watch?</w:t>
      </w:r>
    </w:p>
    <w:p>
      <w:pPr>
        <w:spacing w:after="160" w:line="340"/>
      </w:pPr>
      <w:r>
        <w:rPr>
          <w:rFonts w:ascii="Arial" w:cs="Arial" w:eastAsia="Arial" w:hAnsi="Arial"/>
          <w:color w:val="1A1A1A"/>
          <w:sz w:val="22"/>
          <w:szCs w:val="22"/>
        </w:rPr>
        <w:t xml:space="preserve">A Gleason score alone does not determine your treatment plan. We interpret it alongside a full clinical picture that includes several important factors:</w:t>
      </w:r>
    </w:p>
    <w:p>
      <w:pPr>
        <w:pStyle w:val="ListParagraph"/>
        <w:numPr>
          <w:ilvl w:val="0"/>
          <w:numId w:val="2"/>
        </w:numPr>
        <w:spacing w:after="100"/>
      </w:pPr>
      <w:r>
        <w:rPr>
          <w:rFonts w:ascii="Arial" w:cs="Arial" w:eastAsia="Arial" w:hAnsi="Arial"/>
          <w:color w:val="1A1A1A"/>
          <w:sz w:val="22"/>
          <w:szCs w:val="22"/>
        </w:rPr>
        <w:t xml:space="preserve">Your age and overall life expectancy</w:t>
      </w:r>
    </w:p>
    <w:p>
      <w:pPr>
        <w:pStyle w:val="ListParagraph"/>
        <w:numPr>
          <w:ilvl w:val="0"/>
          <w:numId w:val="2"/>
        </w:numPr>
        <w:spacing w:after="100"/>
      </w:pPr>
      <w:r>
        <w:rPr>
          <w:rFonts w:ascii="Arial" w:cs="Arial" w:eastAsia="Arial" w:hAnsi="Arial"/>
          <w:color w:val="1A1A1A"/>
          <w:sz w:val="22"/>
          <w:szCs w:val="22"/>
        </w:rPr>
        <w:t xml:space="preserve">Comorbidities — other medical conditions that affect your health and treatment tolerance</w:t>
      </w:r>
    </w:p>
    <w:p>
      <w:pPr>
        <w:pStyle w:val="ListParagraph"/>
        <w:numPr>
          <w:ilvl w:val="0"/>
          <w:numId w:val="2"/>
        </w:numPr>
        <w:spacing w:after="100"/>
      </w:pPr>
      <w:r>
        <w:rPr>
          <w:rFonts w:ascii="Arial" w:cs="Arial" w:eastAsia="Arial" w:hAnsi="Arial"/>
          <w:color w:val="1A1A1A"/>
          <w:sz w:val="22"/>
          <w:szCs w:val="22"/>
        </w:rPr>
        <w:t xml:space="preserve">PSA (prostate-specific antigen) — your level at diagnosis and how it has changed over time</w:t>
      </w:r>
    </w:p>
    <w:p>
      <w:pPr>
        <w:pStyle w:val="ListParagraph"/>
        <w:numPr>
          <w:ilvl w:val="0"/>
          <w:numId w:val="2"/>
        </w:numPr>
        <w:spacing w:after="100"/>
      </w:pPr>
      <w:r>
        <w:rPr>
          <w:rFonts w:ascii="Arial" w:cs="Arial" w:eastAsia="Arial" w:hAnsi="Arial"/>
          <w:color w:val="1A1A1A"/>
          <w:sz w:val="22"/>
          <w:szCs w:val="22"/>
        </w:rPr>
        <w:t xml:space="preserve">Prostate MRI findings — the location, size, and local extent of the tumor</w:t>
      </w:r>
    </w:p>
    <w:p>
      <w:pPr>
        <w:pStyle w:val="ListParagraph"/>
        <w:numPr>
          <w:ilvl w:val="0"/>
          <w:numId w:val="2"/>
        </w:numPr>
        <w:spacing w:after="100"/>
      </w:pPr>
      <w:r>
        <w:rPr>
          <w:rFonts w:ascii="Arial" w:cs="Arial" w:eastAsia="Arial" w:hAnsi="Arial"/>
          <w:color w:val="1A1A1A"/>
          <w:sz w:val="22"/>
          <w:szCs w:val="22"/>
        </w:rPr>
        <w:t xml:space="preserve">Number and percentage of biopsy cores involved</w:t>
      </w:r>
    </w:p>
    <w:p>
      <w:pPr>
        <w:pStyle w:val="ListParagraph"/>
        <w:numPr>
          <w:ilvl w:val="0"/>
          <w:numId w:val="2"/>
        </w:numPr>
        <w:spacing w:after="100"/>
      </w:pPr>
      <w:r>
        <w:rPr>
          <w:rFonts w:ascii="Arial" w:cs="Arial" w:eastAsia="Arial" w:hAnsi="Arial"/>
          <w:color w:val="1A1A1A"/>
          <w:sz w:val="22"/>
          <w:szCs w:val="22"/>
        </w:rPr>
        <w:t xml:space="preserve">Clinical stage — whether the cancer appears confined to the prostate</w:t>
      </w:r>
    </w:p>
    <w:p>
      <w:pPr>
        <w:spacing w:after="120"/>
      </w:pPr>
    </w:p>
    <w:p>
      <w:pPr>
        <w:pStyle w:val="Heading2"/>
        <w:spacing w:after="120" w:before="280"/>
      </w:pPr>
      <w:r>
        <w:rPr>
          <w:rFonts w:ascii="Georgia" w:cs="Georgia" w:eastAsia="Georgia" w:hAnsi="Georgia"/>
          <w:b/>
          <w:bCs/>
          <w:color w:val="2E7D52"/>
          <w:sz w:val="28"/>
          <w:szCs w:val="28"/>
        </w:rPr>
        <w:t xml:space="preserve">The First Critical Question: Treat or Watch?</w:t>
      </w:r>
    </w:p>
    <w:p>
      <w:pPr>
        <w:spacing w:after="160" w:line="340"/>
      </w:pPr>
      <w:r>
        <w:rPr>
          <w:rFonts w:ascii="Arial" w:cs="Arial" w:eastAsia="Arial" w:hAnsi="Arial"/>
          <w:color w:val="1A1A1A"/>
          <w:sz w:val="22"/>
          <w:szCs w:val="22"/>
        </w:rPr>
        <w:t xml:space="preserve">For many men with low-risk or favorable intermediate-risk prostate cancer, the evidence strongly supports that active surveillance — careful monitoring without immediate treatment — is a medically appropriate and guideline-endorsed choice.</w:t>
      </w:r>
    </w:p>
    <w:p>
      <w:pPr>
        <w:spacing w:after="160" w:line="340"/>
      </w:pPr>
      <w:r>
        <w:rPr>
          <w:rFonts w:ascii="Arial" w:cs="Arial" w:eastAsia="Arial" w:hAnsi="Arial"/>
          <w:color w:val="1A1A1A"/>
          <w:sz w:val="22"/>
          <w:szCs w:val="22"/>
        </w:rPr>
        <w:t xml:space="preserve">For men with higher-risk disease, or those whose clinical picture warrants it, proceeding with definitive treatment is often the recommended path. This is a shared decision we will make together, weighing what the data shows about your specific cancer against your personal values, priorities, and health.</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BB89A" w:sz="4"/>
              <w:left w:val="single" w:color="1D5C3A" w:sz="20"/>
              <w:bottom w:val="single" w:color="7BB89A" w:sz="4"/>
              <w:right w:val="single" w:color="7BB89A" w:sz="4"/>
            </w:tcBorders>
            <w:shd w:fill="D6EAE0" w:val="clear"/>
            <w:tcMar>
              <w:top w:type="dxa" w:w="160"/>
              <w:left w:type="dxa" w:w="280"/>
              <w:bottom w:type="dxa" w:w="160"/>
              <w:right w:type="dxa" w:w="240"/>
            </w:tcMar>
          </w:tcPr>
          <w:p>
            <w:pPr>
              <w:spacing w:after="80"/>
            </w:pPr>
            <w:r>
              <w:rPr>
                <w:rFonts w:ascii="Georgia" w:cs="Georgia" w:eastAsia="Georgia" w:hAnsi="Georgia"/>
                <w:b/>
                <w:bCs/>
                <w:color w:val="1D5C3A"/>
                <w:sz w:val="22"/>
                <w:szCs w:val="22"/>
              </w:rPr>
              <w:t xml:space="preserve">Factors Favoring Active Surveillance</w:t>
            </w:r>
          </w:p>
          <w:p>
            <w:pPr>
              <w:spacing w:after="80"/>
            </w:pPr>
            <w:r>
              <w:rPr>
                <w:rFonts w:ascii="Arial" w:cs="Arial" w:eastAsia="Arial" w:hAnsi="Arial"/>
                <w:color w:val="1A1A1A"/>
                <w:sz w:val="20"/>
                <w:szCs w:val="20"/>
              </w:rPr>
              <w:t xml:space="preserve">Grade Group 1 (Gleason 6) or select Grade Group 2 (Gleason 7, 3+4) disease</w:t>
            </w:r>
          </w:p>
          <w:p>
            <w:pPr>
              <w:spacing w:after="80"/>
            </w:pPr>
            <w:r>
              <w:rPr>
                <w:rFonts w:ascii="Arial" w:cs="Arial" w:eastAsia="Arial" w:hAnsi="Arial"/>
                <w:color w:val="1A1A1A"/>
                <w:sz w:val="20"/>
                <w:szCs w:val="20"/>
              </w:rPr>
              <w:t xml:space="preserve">Low PSA and favorable MRI findings</w:t>
            </w:r>
          </w:p>
          <w:p>
            <w:pPr>
              <w:spacing w:after="80"/>
            </w:pPr>
            <w:r>
              <w:rPr>
                <w:rFonts w:ascii="Arial" w:cs="Arial" w:eastAsia="Arial" w:hAnsi="Arial"/>
                <w:color w:val="1A1A1A"/>
                <w:sz w:val="20"/>
                <w:szCs w:val="20"/>
              </w:rPr>
              <w:t xml:space="preserve">Older age or significant comorbidities where treatment risks may outweigh benefits</w:t>
            </w:r>
          </w:p>
          <w:p>
            <w:pPr>
              <w:spacing w:after="80"/>
            </w:pPr>
            <w:r>
              <w:rPr>
                <w:rFonts w:ascii="Arial" w:cs="Arial" w:eastAsia="Arial" w:hAnsi="Arial"/>
                <w:color w:val="1A1A1A"/>
                <w:sz w:val="20"/>
                <w:szCs w:val="20"/>
              </w:rPr>
              <w:t xml:space="preserve">Personal preference to avoid treatment side effects while cancer remains low-risk</w:t>
            </w:r>
          </w:p>
        </w:tc>
      </w:tr>
    </w:tbl>
    <w:p>
      <w:pPr>
        <w:spacing w:after="200"/>
      </w:pPr>
    </w:p>
    <w:p>
      <w:pPr>
        <w:pStyle w:val="Heading1"/>
        <w:pBdr>
          <w:bottom w:val="single" w:color="1D5C3A" w:sz="10" w:space="4"/>
        </w:pBdr>
        <w:spacing w:after="180" w:before="400"/>
      </w:pPr>
      <w:r>
        <w:rPr>
          <w:rFonts w:ascii="Georgia" w:cs="Georgia" w:eastAsia="Georgia" w:hAnsi="Georgia"/>
          <w:b/>
          <w:bCs/>
          <w:color w:val="1D5C3A"/>
          <w:sz w:val="36"/>
          <w:szCs w:val="36"/>
        </w:rPr>
        <w:t xml:space="preserve">Section 4: Active Surveillance</w:t>
      </w:r>
    </w:p>
    <w:p>
      <w:pPr>
        <w:spacing w:after="160" w:line="340"/>
      </w:pPr>
      <w:r>
        <w:rPr>
          <w:rFonts w:ascii="Arial" w:cs="Arial" w:eastAsia="Arial" w:hAnsi="Arial"/>
          <w:color w:val="1A1A1A"/>
          <w:sz w:val="22"/>
          <w:szCs w:val="22"/>
        </w:rPr>
        <w:t xml:space="preserve">Active surveillance (AS) is not doing nothing — it is doing something very intentional. It means we monitor your cancer closely with a defined schedule of testing, and we treat only if and when there is evidence of meaningful progression. This approach preserves your quality of life while keeping a close eye on the disease.</w:t>
      </w:r>
    </w:p>
    <w:p>
      <w:pPr>
        <w:spacing w:after="80"/>
      </w:pPr>
    </w:p>
    <w:p>
      <w:pPr>
        <w:pStyle w:val="Heading2"/>
        <w:spacing w:after="120" w:before="280"/>
      </w:pPr>
      <w:r>
        <w:rPr>
          <w:rFonts w:ascii="Georgia" w:cs="Georgia" w:eastAsia="Georgia" w:hAnsi="Georgia"/>
          <w:b/>
          <w:bCs/>
          <w:color w:val="2E7D52"/>
          <w:sz w:val="28"/>
          <w:szCs w:val="28"/>
        </w:rPr>
        <w:t xml:space="preserve">What Active Surveillance Looks Like</w:t>
      </w:r>
    </w:p>
    <w:p>
      <w:pPr>
        <w:spacing w:after="160" w:line="340"/>
      </w:pPr>
      <w:r>
        <w:rPr>
          <w:rFonts w:ascii="Arial" w:cs="Arial" w:eastAsia="Arial" w:hAnsi="Arial"/>
          <w:color w:val="1A1A1A"/>
          <w:sz w:val="22"/>
          <w:szCs w:val="22"/>
        </w:rPr>
        <w:t xml:space="preserve">A surveillance protocol is individualized, but typically includes some combination of:</w:t>
      </w:r>
    </w:p>
    <w:p>
      <w:pPr>
        <w:pStyle w:val="ListParagraph"/>
        <w:numPr>
          <w:ilvl w:val="0"/>
          <w:numId w:val="2"/>
        </w:numPr>
        <w:spacing w:after="100"/>
      </w:pPr>
      <w:r>
        <w:rPr>
          <w:rFonts w:ascii="Arial" w:cs="Arial" w:eastAsia="Arial" w:hAnsi="Arial"/>
          <w:color w:val="1A1A1A"/>
          <w:sz w:val="22"/>
          <w:szCs w:val="22"/>
        </w:rPr>
        <w:t xml:space="preserve">Repeat PSA testing — usually every 3 to 6 months initially, then every 6 to 12 months if stable</w:t>
      </w:r>
    </w:p>
    <w:p>
      <w:pPr>
        <w:pStyle w:val="ListParagraph"/>
        <w:numPr>
          <w:ilvl w:val="0"/>
          <w:numId w:val="2"/>
        </w:numPr>
        <w:spacing w:after="100"/>
      </w:pPr>
      <w:r>
        <w:rPr>
          <w:rFonts w:ascii="Arial" w:cs="Arial" w:eastAsia="Arial" w:hAnsi="Arial"/>
          <w:color w:val="1A1A1A"/>
          <w:sz w:val="22"/>
          <w:szCs w:val="22"/>
        </w:rPr>
        <w:t xml:space="preserve">Repeat prostate MRI — typically every 1 to 3 years to evaluate for radiographic changes</w:t>
      </w:r>
    </w:p>
    <w:p>
      <w:pPr>
        <w:pStyle w:val="ListParagraph"/>
        <w:numPr>
          <w:ilvl w:val="0"/>
          <w:numId w:val="2"/>
        </w:numPr>
        <w:spacing w:after="100"/>
      </w:pPr>
      <w:r>
        <w:rPr>
          <w:rFonts w:ascii="Arial" w:cs="Arial" w:eastAsia="Arial" w:hAnsi="Arial"/>
          <w:color w:val="1A1A1A"/>
          <w:sz w:val="22"/>
          <w:szCs w:val="22"/>
        </w:rPr>
        <w:t xml:space="preserve">Repeat biopsy — confirmatory biopsy within the first 1–2 years; subsequent biopsies based on PSA trends and MRI findings</w:t>
      </w:r>
    </w:p>
    <w:p>
      <w:pPr>
        <w:spacing w:after="120"/>
      </w:pPr>
    </w:p>
    <w:p>
      <w:pPr>
        <w:pStyle w:val="Heading2"/>
        <w:spacing w:after="120" w:before="280"/>
      </w:pPr>
      <w:r>
        <w:rPr>
          <w:rFonts w:ascii="Georgia" w:cs="Georgia" w:eastAsia="Georgia" w:hAnsi="Georgia"/>
          <w:b/>
          <w:bCs/>
          <w:color w:val="2E7D52"/>
          <w:sz w:val="28"/>
          <w:szCs w:val="28"/>
        </w:rPr>
        <w:t xml:space="preserve">Advantages of Active Surveillance</w:t>
      </w:r>
    </w:p>
    <w:p>
      <w:pPr>
        <w:spacing w:after="160" w:line="340"/>
      </w:pPr>
      <w:r>
        <w:rPr>
          <w:rFonts w:ascii="Arial" w:cs="Arial" w:eastAsia="Arial" w:hAnsi="Arial"/>
          <w:color w:val="1A1A1A"/>
          <w:sz w:val="22"/>
          <w:szCs w:val="22"/>
        </w:rPr>
        <w:t xml:space="preserve">The primary goal of active surveillance is to avoid or delay the side effects of treatment in men whose cancer does not yet require intervention. These side effects — which we discuss in the treatment sections below — can include erectile dysfunction and urinary problems that meaningfully affect daily life.</w:t>
      </w:r>
    </w:p>
    <w:p>
      <w:pPr>
        <w:spacing w:after="160" w:line="340"/>
      </w:pPr>
      <w:r>
        <w:rPr>
          <w:rFonts w:ascii="Arial" w:cs="Arial" w:eastAsia="Arial" w:hAnsi="Arial"/>
          <w:color w:val="1A1A1A"/>
          <w:sz w:val="22"/>
          <w:szCs w:val="22"/>
        </w:rPr>
        <w:t xml:space="preserve">Large, long-term studies confirm that men appropriately selected for active surveillance have excellent long-term survival outcomes. Surveillance does not mean foregoing your chance at cure — it means waiting until treatment is truly necessary before accepting its risks.</w:t>
      </w:r>
    </w:p>
    <w:p>
      <w:pPr>
        <w:spacing w:after="200"/>
      </w:pPr>
    </w:p>
    <w:p>
      <w:pPr>
        <w:pStyle w:val="Heading1"/>
        <w:pBdr>
          <w:bottom w:val="single" w:color="1D5C3A" w:sz="10" w:space="4"/>
        </w:pBdr>
        <w:spacing w:after="180" w:before="400"/>
      </w:pPr>
      <w:r>
        <w:rPr>
          <w:rFonts w:ascii="Georgia" w:cs="Georgia" w:eastAsia="Georgia" w:hAnsi="Georgia"/>
          <w:b/>
          <w:bCs/>
          <w:color w:val="1D5C3A"/>
          <w:sz w:val="36"/>
          <w:szCs w:val="36"/>
        </w:rPr>
        <w:t xml:space="preserve">Section 5: Why We Typically Treat the Whole Prostate</w:t>
      </w:r>
    </w:p>
    <w:p>
      <w:pPr>
        <w:spacing w:after="160" w:line="340"/>
      </w:pPr>
      <w:r>
        <w:rPr>
          <w:rFonts w:ascii="Arial" w:cs="Arial" w:eastAsia="Arial" w:hAnsi="Arial"/>
          <w:color w:val="1A1A1A"/>
          <w:sz w:val="22"/>
          <w:szCs w:val="22"/>
        </w:rPr>
        <w:t xml:space="preserve">A common question men ask is: if the cancer appears to be in only one area of the prostate, why do we treat the entire gland? The answer lies in the fundamental biology of how prostate cancer grows and spreads — and in the limits of what even our best imaging and biopsy tools can detect.</w:t>
      </w:r>
    </w:p>
    <w:p>
      <w:pPr>
        <w:spacing w:after="80"/>
      </w:pPr>
    </w:p>
    <w:p>
      <w:pPr>
        <w:pStyle w:val="Heading2"/>
        <w:spacing w:after="120" w:before="280"/>
      </w:pPr>
      <w:r>
        <w:rPr>
          <w:rFonts w:ascii="Georgia" w:cs="Georgia" w:eastAsia="Georgia" w:hAnsi="Georgia"/>
          <w:b/>
          <w:bCs/>
          <w:color w:val="2E7D52"/>
          <w:sz w:val="28"/>
          <w:szCs w:val="28"/>
        </w:rPr>
        <w:t xml:space="preserve">The Whole-Gland Paradigm</w:t>
      </w:r>
    </w:p>
    <w:p>
      <w:pPr>
        <w:spacing w:after="160" w:line="340"/>
      </w:pPr>
      <w:r>
        <w:rPr>
          <w:rFonts w:ascii="Arial" w:cs="Arial" w:eastAsia="Arial" w:hAnsi="Arial"/>
          <w:color w:val="1A1A1A"/>
          <w:sz w:val="22"/>
          <w:szCs w:val="22"/>
        </w:rPr>
        <w:t xml:space="preserve">Historically, and for good reason, the standard of care has been to treat the entire prostate. This approach is based on several important realities:</w:t>
      </w:r>
    </w:p>
    <w:p>
      <w:pPr>
        <w:pStyle w:val="ListParagraph"/>
        <w:numPr>
          <w:ilvl w:val="0"/>
          <w:numId w:val="2"/>
        </w:numPr>
        <w:spacing w:after="100"/>
      </w:pPr>
      <w:r>
        <w:rPr>
          <w:rFonts w:ascii="Arial" w:cs="Arial" w:eastAsia="Arial" w:hAnsi="Arial"/>
          <w:color w:val="1A1A1A"/>
          <w:sz w:val="22"/>
          <w:szCs w:val="22"/>
        </w:rPr>
        <w:t xml:space="preserve">Prostate cancer can be multifocal — meaning it can exist in multiple areas of the gland simultaneously, not just where the biopsy detected it.</w:t>
      </w:r>
    </w:p>
    <w:p>
      <w:pPr>
        <w:pStyle w:val="ListParagraph"/>
        <w:numPr>
          <w:ilvl w:val="0"/>
          <w:numId w:val="2"/>
        </w:numPr>
        <w:spacing w:after="100"/>
      </w:pPr>
      <w:r>
        <w:rPr>
          <w:rFonts w:ascii="Arial" w:cs="Arial" w:eastAsia="Arial" w:hAnsi="Arial"/>
          <w:color w:val="1A1A1A"/>
          <w:sz w:val="22"/>
          <w:szCs w:val="22"/>
        </w:rPr>
        <w:t xml:space="preserve">Cancer can recur or emerge in areas that were not sampled — even with excellent technique, a biopsy is a sampling of the gland, not a complete map of every cell within it.</w:t>
      </w:r>
    </w:p>
    <w:p>
      <w:pPr>
        <w:pStyle w:val="ListParagraph"/>
        <w:numPr>
          <w:ilvl w:val="0"/>
          <w:numId w:val="2"/>
        </w:numPr>
        <w:spacing w:after="100"/>
      </w:pPr>
      <w:r>
        <w:rPr>
          <w:rFonts w:ascii="Arial" w:cs="Arial" w:eastAsia="Arial" w:hAnsi="Arial"/>
          <w:color w:val="1A1A1A"/>
          <w:sz w:val="22"/>
          <w:szCs w:val="22"/>
        </w:rPr>
        <w:t xml:space="preserve">Treating the whole gland ensures that any undetected microscopic disease elsewhere in the prostate is also addressed, reducing the risk of recurrence.</w:t>
      </w:r>
    </w:p>
    <w:p>
      <w:pPr>
        <w:spacing w:after="80"/>
      </w:pPr>
    </w:p>
    <w:p>
      <w:pPr>
        <w:pStyle w:val="Heading2"/>
        <w:spacing w:after="120" w:before="280"/>
      </w:pPr>
      <w:r>
        <w:rPr>
          <w:rFonts w:ascii="Georgia" w:cs="Georgia" w:eastAsia="Georgia" w:hAnsi="Georgia"/>
          <w:b/>
          <w:bCs/>
          <w:color w:val="2E7D52"/>
          <w:sz w:val="28"/>
          <w:szCs w:val="28"/>
        </w:rPr>
        <w:t xml:space="preserve">How MRI Has Changed the Picture</w:t>
      </w:r>
    </w:p>
    <w:p>
      <w:pPr>
        <w:spacing w:after="160" w:line="340"/>
      </w:pPr>
      <w:r>
        <w:rPr>
          <w:rFonts w:ascii="Arial" w:cs="Arial" w:eastAsia="Arial" w:hAnsi="Arial"/>
          <w:color w:val="1A1A1A"/>
          <w:sz w:val="22"/>
          <w:szCs w:val="22"/>
        </w:rPr>
        <w:t xml:space="preserve">The introduction of high-resolution prostate MRI and MRI-fusion guided biopsy — a program Dr. Kabra helped bring to this community — has significantly improved our ability to precisely locate and sample areas of concern within the prostate. This increased confidence in where the cancer is and isn't has opened the door to important conversations about whether focal approaches might one day be appropriate for carefully selected patients.</w:t>
      </w:r>
    </w:p>
    <w:p>
      <w:pPr>
        <w:spacing w:after="80"/>
      </w:pPr>
    </w:p>
    <w:p>
      <w:pPr>
        <w:pStyle w:val="Heading2"/>
        <w:spacing w:after="120" w:before="280"/>
      </w:pPr>
      <w:r>
        <w:rPr>
          <w:rFonts w:ascii="Georgia" w:cs="Georgia" w:eastAsia="Georgia" w:hAnsi="Georgia"/>
          <w:b/>
          <w:bCs/>
          <w:color w:val="2E7D52"/>
          <w:sz w:val="28"/>
          <w:szCs w:val="28"/>
        </w:rPr>
        <w:t xml:space="preserve">Partial (Focal) Gland Therapy — An Emerging Option</w:t>
      </w:r>
    </w:p>
    <w:p>
      <w:pPr>
        <w:spacing w:after="160" w:line="340"/>
      </w:pPr>
      <w:r>
        <w:rPr>
          <w:rFonts w:ascii="Arial" w:cs="Arial" w:eastAsia="Arial" w:hAnsi="Arial"/>
          <w:color w:val="1A1A1A"/>
          <w:sz w:val="22"/>
          <w:szCs w:val="22"/>
        </w:rPr>
        <w:t xml:space="preserve">Focal therapy refers to ablative techniques that target only the known area of cancer within the prostate, rather than the entire gland. The appeal is clear: potentially fewer side effects — particularly around sexual function and urinary symptoms — while still addressing the disease.</w:t>
      </w:r>
    </w:p>
    <w:p>
      <w:pPr>
        <w:spacing w:after="160" w:line="340"/>
      </w:pPr>
      <w:r>
        <w:rPr>
          <w:rFonts w:ascii="Arial" w:cs="Arial" w:eastAsia="Arial" w:hAnsi="Arial"/>
          <w:color w:val="1A1A1A"/>
          <w:sz w:val="22"/>
          <w:szCs w:val="22"/>
        </w:rPr>
        <w:t xml:space="preserve">However, it is important to understand where focal therapy currently stands:</w:t>
      </w:r>
    </w:p>
    <w:p>
      <w:pPr>
        <w:pStyle w:val="ListParagraph"/>
        <w:numPr>
          <w:ilvl w:val="0"/>
          <w:numId w:val="2"/>
        </w:numPr>
        <w:spacing w:after="100"/>
      </w:pPr>
      <w:r>
        <w:rPr>
          <w:rFonts w:ascii="Arial" w:cs="Arial" w:eastAsia="Arial" w:hAnsi="Arial"/>
          <w:color w:val="1A1A1A"/>
          <w:sz w:val="22"/>
          <w:szCs w:val="22"/>
        </w:rPr>
        <w:t xml:space="preserve">It is not considered curative intent treatment — it is ablative, meaning it destroys tissue in a targeted zone but does not remove the gland.</w:t>
      </w:r>
    </w:p>
    <w:p>
      <w:pPr>
        <w:pStyle w:val="ListParagraph"/>
        <w:numPr>
          <w:ilvl w:val="0"/>
          <w:numId w:val="2"/>
        </w:numPr>
        <w:spacing w:after="100"/>
      </w:pPr>
      <w:r>
        <w:rPr>
          <w:rFonts w:ascii="Arial" w:cs="Arial" w:eastAsia="Arial" w:hAnsi="Arial"/>
          <w:color w:val="1A1A1A"/>
          <w:sz w:val="22"/>
          <w:szCs w:val="22"/>
        </w:rPr>
        <w:t xml:space="preserve">It currently lacks the large randomized controlled trials and long-term reproducible outcome data that support surgery and radiation. Early multicenter experience does show encouraging safety, low toxicity, and short- to intermediate-term oncologic results — but head-to-head comparisons with whole-gland treatment do not yet exist.</w:t>
      </w:r>
    </w:p>
    <w:p>
      <w:pPr>
        <w:pStyle w:val="ListParagraph"/>
        <w:numPr>
          <w:ilvl w:val="0"/>
          <w:numId w:val="2"/>
        </w:numPr>
        <w:spacing w:after="100"/>
      </w:pPr>
      <w:r>
        <w:rPr>
          <w:rFonts w:ascii="Arial" w:cs="Arial" w:eastAsia="Arial" w:hAnsi="Arial"/>
          <w:color w:val="1A1A1A"/>
          <w:sz w:val="22"/>
          <w:szCs w:val="22"/>
        </w:rPr>
        <w:t xml:space="preserve">Major urologic guidelines do not yet formally recommend focal therapy as a standard treatment option, though several international multidisciplinary consensus statements have acknowledged its evolving role.</w:t>
      </w:r>
    </w:p>
    <w:p>
      <w:pPr>
        <w:pStyle w:val="ListParagraph"/>
        <w:numPr>
          <w:ilvl w:val="0"/>
          <w:numId w:val="2"/>
        </w:numPr>
        <w:spacing w:after="100"/>
      </w:pPr>
      <w:r>
        <w:rPr>
          <w:rFonts w:ascii="Arial" w:cs="Arial" w:eastAsia="Arial" w:hAnsi="Arial"/>
          <w:color w:val="1A1A1A"/>
          <w:sz w:val="22"/>
          <w:szCs w:val="22"/>
        </w:rPr>
        <w:t xml:space="preserve">Strict patient selection is essential — many men are not candidates due to tumor location, multifocal disease, or other factors that make a partial approach oncologically inadequate.</w:t>
      </w:r>
    </w:p>
    <w:p>
      <w:pPr>
        <w:pStyle w:val="ListParagraph"/>
        <w:numPr>
          <w:ilvl w:val="0"/>
          <w:numId w:val="2"/>
        </w:numPr>
        <w:spacing w:after="100"/>
      </w:pPr>
      <w:r>
        <w:rPr>
          <w:rFonts w:ascii="Arial" w:cs="Arial" w:eastAsia="Arial" w:hAnsi="Arial"/>
          <w:color w:val="1A1A1A"/>
          <w:sz w:val="22"/>
          <w:szCs w:val="22"/>
        </w:rPr>
        <w:t xml:space="preserve">Despite these limitations, interest is high. Men are actively seeking and traveling for focal therapy due to its low treatment regret profile. It represents one of the most actively evolving areas in urology today.</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BB89A" w:sz="4"/>
              <w:left w:val="single" w:color="1D5C3A" w:sz="20"/>
              <w:bottom w:val="single" w:color="7BB89A" w:sz="4"/>
              <w:right w:val="single" w:color="7BB89A" w:sz="4"/>
            </w:tcBorders>
            <w:shd w:fill="D6EAE0" w:val="clear"/>
            <w:tcMar>
              <w:top w:type="dxa" w:w="160"/>
              <w:left w:type="dxa" w:w="280"/>
              <w:bottom w:type="dxa" w:w="160"/>
              <w:right w:type="dxa" w:w="240"/>
            </w:tcMar>
          </w:tcPr>
          <w:p>
            <w:pPr>
              <w:spacing w:after="80"/>
            </w:pPr>
            <w:r>
              <w:rPr>
                <w:rFonts w:ascii="Georgia" w:cs="Georgia" w:eastAsia="Georgia" w:hAnsi="Georgia"/>
                <w:b/>
                <w:bCs/>
                <w:color w:val="1D5C3A"/>
                <w:sz w:val="22"/>
                <w:szCs w:val="22"/>
              </w:rPr>
              <w:t xml:space="preserve">The Bottom Line on Focal Therapy</w:t>
            </w:r>
          </w:p>
          <w:p>
            <w:pPr>
              <w:spacing w:after="80"/>
            </w:pPr>
            <w:r>
              <w:rPr>
                <w:rFonts w:ascii="Arial" w:cs="Arial" w:eastAsia="Arial" w:hAnsi="Arial"/>
                <w:color w:val="1A1A1A"/>
                <w:sz w:val="20"/>
                <w:szCs w:val="20"/>
              </w:rPr>
              <w:t xml:space="preserve">Focal therapy is a promising and rapidly developing field — but it is not yet a guideline-standard alternative to surgery or radiation for most men.</w:t>
            </w:r>
          </w:p>
          <w:p>
            <w:pPr>
              <w:spacing w:after="80"/>
            </w:pPr>
            <w:r>
              <w:rPr>
                <w:rFonts w:ascii="Arial" w:cs="Arial" w:eastAsia="Arial" w:hAnsi="Arial"/>
                <w:color w:val="1A1A1A"/>
                <w:sz w:val="20"/>
                <w:szCs w:val="20"/>
              </w:rPr>
              <w:t xml:space="preserve">If you are interested in discussing focal therapy as part of your decision-making, Dr. Kabra is happy to review whether you may be a candidate and what the current evidence supports.</w:t>
            </w:r>
          </w:p>
          <w:p>
            <w:pPr>
              <w:spacing w:after="80"/>
            </w:pPr>
            <w:r>
              <w:rPr>
                <w:rFonts w:ascii="Arial" w:cs="Arial" w:eastAsia="Arial" w:hAnsi="Arial"/>
                <w:color w:val="1A1A1A"/>
                <w:sz w:val="20"/>
                <w:szCs w:val="20"/>
              </w:rPr>
              <w:t xml:space="preserve">For most men today, whole-gland treatment remains the most proven path to durable cancer control.</w:t>
            </w:r>
          </w:p>
        </w:tc>
      </w:tr>
    </w:tbl>
    <w:p>
      <w:pPr>
        <w:spacing w:after="200"/>
      </w:pPr>
    </w:p>
    <w:p>
      <w:pPr>
        <w:pStyle w:val="Heading1"/>
        <w:pBdr>
          <w:bottom w:val="single" w:color="1D5C3A" w:sz="10" w:space="4"/>
        </w:pBdr>
        <w:spacing w:after="180" w:before="400"/>
      </w:pPr>
      <w:r>
        <w:rPr>
          <w:rFonts w:ascii="Georgia" w:cs="Georgia" w:eastAsia="Georgia" w:hAnsi="Georgia"/>
          <w:b/>
          <w:bCs/>
          <w:color w:val="1D5C3A"/>
          <w:sz w:val="36"/>
          <w:szCs w:val="36"/>
        </w:rPr>
        <w:t xml:space="preserve">Section 6: Treatment Options — Surgery vs. Radiation</w:t>
      </w:r>
    </w:p>
    <w:p>
      <w:pPr>
        <w:spacing w:after="160" w:line="340"/>
      </w:pPr>
      <w:r>
        <w:rPr>
          <w:rFonts w:ascii="Arial" w:cs="Arial" w:eastAsia="Arial" w:hAnsi="Arial"/>
          <w:color w:val="1A1A1A"/>
          <w:sz w:val="22"/>
          <w:szCs w:val="22"/>
        </w:rPr>
        <w:t xml:space="preserve">When treatment is indicated, the two primary curative options for localized prostate cancer are radical prostatectomy (surgical removal of the prostate) and radiation therapy. Both are highly effective. The right choice depends on your clinical situation, anatomy, age, and personal preferences.</w:t>
      </w:r>
    </w:p>
    <w:p>
      <w:pPr>
        <w:spacing w:after="80"/>
      </w:pPr>
    </w:p>
    <w:p>
      <w:pPr>
        <w:pStyle w:val="Heading2"/>
        <w:spacing w:after="120" w:before="280"/>
      </w:pPr>
      <w:r>
        <w:rPr>
          <w:rFonts w:ascii="Georgia" w:cs="Georgia" w:eastAsia="Georgia" w:hAnsi="Georgia"/>
          <w:b/>
          <w:bCs/>
          <w:color w:val="2E7D52"/>
          <w:sz w:val="28"/>
          <w:szCs w:val="28"/>
        </w:rPr>
        <w:t xml:space="preserve">Robotic-Assisted Radical Prostatectomy (da Vinci Surgery)</w:t>
      </w:r>
    </w:p>
    <w:p>
      <w:pPr>
        <w:spacing w:after="160" w:line="340"/>
      </w:pPr>
      <w:r>
        <w:rPr>
          <w:rFonts w:ascii="Arial" w:cs="Arial" w:eastAsia="Arial" w:hAnsi="Arial"/>
          <w:color w:val="1A1A1A"/>
          <w:sz w:val="22"/>
          <w:szCs w:val="22"/>
        </w:rPr>
        <w:t xml:space="preserve">Surgical removal of the prostate is performed using the da Vinci robotic platform, a state-of-the-art minimally invasive system that provides the surgeon with magnified 3D visualization and precise instrument control through small keyhole incisions.</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BB89A" w:sz="4"/>
              <w:left w:val="single" w:color="1D5C3A" w:sz="20"/>
              <w:bottom w:val="single" w:color="7BB89A" w:sz="4"/>
              <w:right w:val="single" w:color="7BB89A" w:sz="4"/>
            </w:tcBorders>
            <w:shd w:fill="D6EAE0" w:val="clear"/>
            <w:tcMar>
              <w:top w:type="dxa" w:w="160"/>
              <w:left w:type="dxa" w:w="280"/>
              <w:bottom w:type="dxa" w:w="160"/>
              <w:right w:type="dxa" w:w="240"/>
            </w:tcMar>
          </w:tcPr>
          <w:p>
            <w:pPr>
              <w:spacing w:after="80"/>
            </w:pPr>
            <w:r>
              <w:rPr>
                <w:rFonts w:ascii="Georgia" w:cs="Georgia" w:eastAsia="Georgia" w:hAnsi="Georgia"/>
                <w:b/>
                <w:bCs/>
                <w:color w:val="1D5C3A"/>
                <w:sz w:val="22"/>
                <w:szCs w:val="22"/>
              </w:rPr>
              <w:t xml:space="preserve">Surgical Quick Reference</w:t>
            </w:r>
          </w:p>
          <w:p>
            <w:pPr>
              <w:spacing w:after="80"/>
            </w:pPr>
            <w:r>
              <w:rPr>
                <w:rFonts w:ascii="Arial" w:cs="Arial" w:eastAsia="Arial" w:hAnsi="Arial"/>
                <w:color w:val="1A1A1A"/>
                <w:sz w:val="20"/>
                <w:szCs w:val="20"/>
              </w:rPr>
              <w:t xml:space="preserve">Approach: Minimally invasive laparoscopic robotic surgery (da Vinci)</w:t>
            </w:r>
          </w:p>
          <w:p>
            <w:pPr>
              <w:spacing w:after="80"/>
            </w:pPr>
            <w:r>
              <w:rPr>
                <w:rFonts w:ascii="Arial" w:cs="Arial" w:eastAsia="Arial" w:hAnsi="Arial"/>
                <w:color w:val="1A1A1A"/>
                <w:sz w:val="20"/>
                <w:szCs w:val="20"/>
              </w:rPr>
              <w:t xml:space="preserve">Incisions: Several small ports — no large abdominal incision</w:t>
            </w:r>
          </w:p>
          <w:p>
            <w:pPr>
              <w:spacing w:after="80"/>
            </w:pPr>
            <w:r>
              <w:rPr>
                <w:rFonts w:ascii="Arial" w:cs="Arial" w:eastAsia="Arial" w:hAnsi="Arial"/>
                <w:color w:val="1A1A1A"/>
                <w:sz w:val="20"/>
                <w:szCs w:val="20"/>
              </w:rPr>
              <w:t xml:space="preserve">Procedure time: Typically 2.5 to 4 hours</w:t>
            </w:r>
          </w:p>
          <w:p>
            <w:pPr>
              <w:spacing w:after="80"/>
            </w:pPr>
            <w:r>
              <w:rPr>
                <w:rFonts w:ascii="Arial" w:cs="Arial" w:eastAsia="Arial" w:hAnsi="Arial"/>
                <w:color w:val="1A1A1A"/>
                <w:sz w:val="20"/>
                <w:szCs w:val="20"/>
              </w:rPr>
              <w:t xml:space="preserve">Hospital stay: Usually 1 night; most patients home within 24 hours</w:t>
            </w:r>
          </w:p>
          <w:p>
            <w:pPr>
              <w:spacing w:after="80"/>
            </w:pPr>
            <w:r>
              <w:rPr>
                <w:rFonts w:ascii="Arial" w:cs="Arial" w:eastAsia="Arial" w:hAnsi="Arial"/>
                <w:color w:val="1A1A1A"/>
                <w:sz w:val="20"/>
                <w:szCs w:val="20"/>
              </w:rPr>
              <w:t xml:space="preserve">Catheter: Urinary catheter in place for approximately 1 week after surgery</w:t>
            </w:r>
          </w:p>
          <w:p>
            <w:pPr>
              <w:spacing w:after="80"/>
            </w:pPr>
            <w:r>
              <w:rPr>
                <w:rFonts w:ascii="Arial" w:cs="Arial" w:eastAsia="Arial" w:hAnsi="Arial"/>
                <w:color w:val="1A1A1A"/>
                <w:sz w:val="20"/>
                <w:szCs w:val="20"/>
              </w:rPr>
              <w:t xml:space="preserve">Return to light activity: 1 to 2 weeks; full recovery 4 to 6 weeks</w:t>
            </w:r>
          </w:p>
          <w:p>
            <w:pPr>
              <w:spacing w:after="80"/>
            </w:pPr>
            <w:r>
              <w:rPr>
                <w:rFonts w:ascii="Arial" w:cs="Arial" w:eastAsia="Arial" w:hAnsi="Arial"/>
                <w:color w:val="1A1A1A"/>
                <w:sz w:val="20"/>
                <w:szCs w:val="20"/>
              </w:rPr>
              <w:t xml:space="preserve">Driving: Typically cleared within 2 to 3 weeks</w:t>
            </w:r>
          </w:p>
        </w:tc>
      </w:tr>
    </w:tbl>
    <w:p>
      <w:pPr>
        <w:spacing w:after="120"/>
      </w:pPr>
    </w:p>
    <w:p>
      <w:pPr>
        <w:pStyle w:val="Heading2"/>
        <w:spacing w:after="120" w:before="280"/>
      </w:pPr>
      <w:r>
        <w:rPr>
          <w:rFonts w:ascii="Georgia" w:cs="Georgia" w:eastAsia="Georgia" w:hAnsi="Georgia"/>
          <w:b/>
          <w:bCs/>
          <w:color w:val="2E7D52"/>
          <w:sz w:val="28"/>
          <w:szCs w:val="28"/>
        </w:rPr>
        <w:t xml:space="preserve">Short-Term Surgical Risks</w:t>
      </w:r>
    </w:p>
    <w:p>
      <w:pPr>
        <w:spacing w:after="160" w:line="340"/>
      </w:pPr>
      <w:r>
        <w:rPr>
          <w:rFonts w:ascii="Arial" w:cs="Arial" w:eastAsia="Arial" w:hAnsi="Arial"/>
          <w:color w:val="1A1A1A"/>
          <w:sz w:val="22"/>
          <w:szCs w:val="22"/>
        </w:rPr>
        <w:t xml:space="preserve">Robotic prostatectomy performed in an appropriately selected, medically fit candidate is considered a safe procedure with a low rate of serious perioperative complications. The risk of a major anesthetic or surgical complication — such as significant hemorrhage, cardiovascular event, or serious injury to adjacent structures — is approximately 1% or less. As with any surgery, risks include bleeding, infection, and anesthetic reactions, all of which are reviewed in detail during your pre-surgical consultation.</w:t>
      </w:r>
    </w:p>
    <w:p>
      <w:pPr>
        <w:spacing w:after="80"/>
      </w:pPr>
    </w:p>
    <w:p>
      <w:pPr>
        <w:pStyle w:val="Heading2"/>
        <w:spacing w:after="120" w:before="280"/>
      </w:pPr>
      <w:r>
        <w:rPr>
          <w:rFonts w:ascii="Georgia" w:cs="Georgia" w:eastAsia="Georgia" w:hAnsi="Georgia"/>
          <w:b/>
          <w:bCs/>
          <w:color w:val="2E7D52"/>
          <w:sz w:val="28"/>
          <w:szCs w:val="28"/>
        </w:rPr>
        <w:t xml:space="preserve">Long-Term Risks of Surgery</w:t>
      </w:r>
    </w:p>
    <w:p>
      <w:pPr>
        <w:spacing w:after="160" w:line="340"/>
      </w:pPr>
      <w:r>
        <w:rPr>
          <w:rFonts w:ascii="Arial" w:cs="Arial" w:eastAsia="Arial" w:hAnsi="Arial"/>
          <w:color w:val="1A1A1A"/>
          <w:sz w:val="22"/>
          <w:szCs w:val="22"/>
        </w:rPr>
        <w:t xml:space="preserve">As with any procedure, surgery carries meaningful risks that must be considered:</w:t>
      </w:r>
    </w:p>
    <w:p>
      <w:pPr>
        <w:pStyle w:val="ListParagraph"/>
        <w:numPr>
          <w:ilvl w:val="0"/>
          <w:numId w:val="2"/>
        </w:numPr>
        <w:spacing w:after="100"/>
      </w:pPr>
      <w:r>
        <w:rPr>
          <w:rFonts w:ascii="Arial" w:cs="Arial" w:eastAsia="Arial" w:hAnsi="Arial"/>
          <w:color w:val="1A1A1A"/>
          <w:sz w:val="22"/>
          <w:szCs w:val="22"/>
        </w:rPr>
        <w:t xml:space="preserve">Erectile dysfunction (ED)</w:t>
      </w:r>
    </w:p>
    <w:p>
      <w:pPr>
        <w:spacing w:after="160" w:line="340"/>
      </w:pPr>
      <w:r>
        <w:rPr>
          <w:rFonts w:ascii="Arial" w:cs="Arial" w:eastAsia="Arial" w:hAnsi="Arial"/>
          <w:color w:val="1A1A1A"/>
          <w:sz w:val="22"/>
          <w:szCs w:val="22"/>
        </w:rPr>
        <w:t xml:space="preserve">The nerves responsible for erections run along the surface of the prostate. Even with nerve-sparing technique, some degree of ED is common, particularly in the first year. Recovery depends on age, baseline function, and whether nerve-sparing was feasible. Medications, vacuum devices, and other therapies can support recovery.</w:t>
      </w:r>
    </w:p>
    <w:p>
      <w:pPr>
        <w:pStyle w:val="ListParagraph"/>
        <w:numPr>
          <w:ilvl w:val="0"/>
          <w:numId w:val="2"/>
        </w:numPr>
        <w:spacing w:after="100"/>
      </w:pPr>
      <w:r>
        <w:rPr>
          <w:rFonts w:ascii="Arial" w:cs="Arial" w:eastAsia="Arial" w:hAnsi="Arial"/>
          <w:color w:val="1A1A1A"/>
          <w:sz w:val="22"/>
          <w:szCs w:val="22"/>
        </w:rPr>
        <w:t xml:space="preserve">Stress urinary incontinence (SUI)</w:t>
      </w:r>
    </w:p>
    <w:p>
      <w:pPr>
        <w:spacing w:after="160" w:line="340"/>
      </w:pPr>
      <w:r>
        <w:rPr>
          <w:rFonts w:ascii="Arial" w:cs="Arial" w:eastAsia="Arial" w:hAnsi="Arial"/>
          <w:color w:val="1A1A1A"/>
          <w:sz w:val="22"/>
          <w:szCs w:val="22"/>
        </w:rPr>
        <w:t xml:space="preserve">Temporary leakage with physical activity (coughing, sneezing, exercise) is common after surgery. The majority of men regain continence within weeks to a few months. A small percentage may experience longer-term incontinence requiring further management.</w:t>
      </w:r>
    </w:p>
    <w:p>
      <w:pPr>
        <w:spacing w:after="200"/>
      </w:pPr>
    </w:p>
    <w:p>
      <w:pPr>
        <w:pStyle w:val="Heading1"/>
        <w:pBdr>
          <w:bottom w:val="single" w:color="1D5C3A" w:sz="10" w:space="4"/>
        </w:pBdr>
        <w:spacing w:after="180" w:before="400"/>
      </w:pPr>
      <w:r>
        <w:rPr>
          <w:rFonts w:ascii="Georgia" w:cs="Georgia" w:eastAsia="Georgia" w:hAnsi="Georgia"/>
          <w:b/>
          <w:bCs/>
          <w:color w:val="1D5C3A"/>
          <w:sz w:val="36"/>
          <w:szCs w:val="36"/>
        </w:rPr>
        <w:t xml:space="preserve">Section 7: Radiation Therapy</w:t>
      </w:r>
    </w:p>
    <w:p>
      <w:pPr>
        <w:spacing w:after="160" w:line="340"/>
      </w:pPr>
      <w:r>
        <w:rPr>
          <w:rFonts w:ascii="Arial" w:cs="Arial" w:eastAsia="Arial" w:hAnsi="Arial"/>
          <w:color w:val="1A1A1A"/>
          <w:sz w:val="22"/>
          <w:szCs w:val="22"/>
        </w:rPr>
        <w:t xml:space="preserve">Radiation therapy is an equally effective curative option for many men with localized and locally advanced prostate cancer. It uses precisely targeted energy to destroy cancer cells while sparing surrounding tissue.</w:t>
      </w:r>
    </w:p>
    <w:p>
      <w:pPr>
        <w:spacing w:after="80"/>
      </w:pPr>
    </w:p>
    <w:p>
      <w:pPr>
        <w:pStyle w:val="Heading2"/>
        <w:spacing w:after="120" w:before="280"/>
      </w:pPr>
      <w:r>
        <w:rPr>
          <w:rFonts w:ascii="Georgia" w:cs="Georgia" w:eastAsia="Georgia" w:hAnsi="Georgia"/>
          <w:b/>
          <w:bCs/>
          <w:color w:val="2E7D52"/>
          <w:sz w:val="28"/>
          <w:szCs w:val="28"/>
        </w:rPr>
        <w:t xml:space="preserve">Callaway Young Cancer Center</w:t>
      </w:r>
    </w:p>
    <w:p>
      <w:pPr>
        <w:spacing w:after="160" w:line="340"/>
      </w:pPr>
      <w:r>
        <w:rPr>
          <w:rFonts w:ascii="Arial" w:cs="Arial" w:eastAsia="Arial" w:hAnsi="Arial"/>
          <w:color w:val="1A1A1A"/>
          <w:sz w:val="22"/>
          <w:szCs w:val="22"/>
        </w:rPr>
        <w:t xml:space="preserve">A referral to the radiation oncology team at Callaway Young Cancer Center is a standard and important part of the new prostate cancer diagnosis pathway. Meeting with a radiation oncologist is not a commitment to radiation — it is an opportunity to hear all of your options from specialists who focus exclusively on this area.</w:t>
      </w:r>
    </w:p>
    <w:p>
      <w:pPr>
        <w:spacing w:after="160" w:line="340"/>
      </w:pPr>
      <w:r>
        <w:rPr>
          <w:rFonts w:ascii="Arial" w:cs="Arial" w:eastAsia="Arial" w:hAnsi="Arial"/>
          <w:color w:val="1A1A1A"/>
          <w:sz w:val="22"/>
          <w:szCs w:val="22"/>
        </w:rPr>
        <w:t xml:space="preserve">The team at Callaway Young Cancer Center represents some of the very best radiation oncology expertise available anywhere, and they are right here in your community. We strongly encourage this consultation as part of your care journey, regardless of which treatment direction you ultimately choose.</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BB89A" w:sz="4"/>
              <w:left w:val="single" w:color="1D5C3A" w:sz="20"/>
              <w:bottom w:val="single" w:color="7BB89A" w:sz="4"/>
              <w:right w:val="single" w:color="7BB89A" w:sz="4"/>
            </w:tcBorders>
            <w:shd w:fill="D6EAE0" w:val="clear"/>
            <w:tcMar>
              <w:top w:type="dxa" w:w="160"/>
              <w:left w:type="dxa" w:w="280"/>
              <w:bottom w:type="dxa" w:w="160"/>
              <w:right w:type="dxa" w:w="240"/>
            </w:tcMar>
          </w:tcPr>
          <w:p>
            <w:pPr>
              <w:spacing w:after="80"/>
            </w:pPr>
            <w:r>
              <w:rPr>
                <w:rFonts w:ascii="Georgia" w:cs="Georgia" w:eastAsia="Georgia" w:hAnsi="Georgia"/>
                <w:b/>
                <w:bCs/>
                <w:color w:val="1D5C3A"/>
                <w:sz w:val="22"/>
                <w:szCs w:val="22"/>
              </w:rPr>
              <w:t xml:space="preserve">Radiation Approaches Commonly Used</w:t>
            </w:r>
          </w:p>
          <w:p>
            <w:pPr>
              <w:spacing w:after="80"/>
            </w:pPr>
            <w:r>
              <w:rPr>
                <w:rFonts w:ascii="Arial" w:cs="Arial" w:eastAsia="Arial" w:hAnsi="Arial"/>
                <w:color w:val="1A1A1A"/>
                <w:sz w:val="20"/>
                <w:szCs w:val="20"/>
              </w:rPr>
              <w:t xml:space="preserve">External Beam Radiation Therapy (EBRT) — including IMRT and SBRT/SABR (stereotactic body radiation)</w:t>
            </w:r>
          </w:p>
          <w:p>
            <w:pPr>
              <w:spacing w:after="80"/>
            </w:pPr>
            <w:r>
              <w:rPr>
                <w:rFonts w:ascii="Arial" w:cs="Arial" w:eastAsia="Arial" w:hAnsi="Arial"/>
                <w:color w:val="1A1A1A"/>
                <w:sz w:val="20"/>
                <w:szCs w:val="20"/>
              </w:rPr>
              <w:t xml:space="preserve">Brachytherapy — radioactive implants delivered directly into the prostate tissue (see below)</w:t>
            </w:r>
          </w:p>
          <w:p>
            <w:pPr>
              <w:spacing w:after="80"/>
            </w:pPr>
            <w:r>
              <w:rPr>
                <w:rFonts w:ascii="Arial" w:cs="Arial" w:eastAsia="Arial" w:hAnsi="Arial"/>
                <w:color w:val="1A1A1A"/>
                <w:sz w:val="20"/>
                <w:szCs w:val="20"/>
              </w:rPr>
              <w:t xml:space="preserve">Combination approaches — for higher-risk disease, often combined with hormonal therapy (ADT)</w:t>
            </w:r>
          </w:p>
          <w:p>
            <w:pPr>
              <w:spacing w:after="80"/>
            </w:pPr>
            <w:r>
              <w:rPr>
                <w:rFonts w:ascii="Arial" w:cs="Arial" w:eastAsia="Arial" w:hAnsi="Arial"/>
                <w:color w:val="1A1A1A"/>
                <w:sz w:val="20"/>
                <w:szCs w:val="20"/>
              </w:rPr>
              <w:t xml:space="preserve">Treatment schedules vary: from daily sessions over several weeks to a short hypofractionated course</w:t>
            </w:r>
          </w:p>
        </w:tc>
      </w:tr>
    </w:tbl>
    <w:p>
      <w:pPr>
        <w:spacing w:after="120"/>
      </w:pPr>
    </w:p>
    <w:p>
      <w:pPr>
        <w:pStyle w:val="Heading2"/>
        <w:spacing w:after="120" w:before="280"/>
      </w:pPr>
      <w:r>
        <w:rPr>
          <w:rFonts w:ascii="Georgia" w:cs="Georgia" w:eastAsia="Georgia" w:hAnsi="Georgia"/>
          <w:b/>
          <w:bCs/>
          <w:color w:val="2E7D52"/>
          <w:sz w:val="28"/>
          <w:szCs w:val="28"/>
        </w:rPr>
        <w:t xml:space="preserve">External Beam Radiation Therapy (EBRT)</w:t>
      </w:r>
    </w:p>
    <w:p>
      <w:pPr>
        <w:spacing w:after="160" w:line="340"/>
      </w:pPr>
      <w:r>
        <w:rPr>
          <w:rFonts w:ascii="Arial" w:cs="Arial" w:eastAsia="Arial" w:hAnsi="Arial"/>
          <w:color w:val="1A1A1A"/>
          <w:sz w:val="22"/>
          <w:szCs w:val="22"/>
        </w:rPr>
        <w:t xml:space="preserve">External beam radiation therapy is the most commonly used radiation approach for prostate cancer. Modern techniques such as IMRT (intensity-modulated radiation therapy) and SBRT/SABR (stereotactic body radiation) allow for highly precise targeting of the prostate while minimizing dose to surrounding structures.</w:t>
      </w:r>
    </w:p>
    <w:p>
      <w:pPr>
        <w:spacing w:after="160" w:line="340"/>
      </w:pPr>
      <w:r>
        <w:rPr>
          <w:rFonts w:ascii="Arial" w:cs="Arial" w:eastAsia="Arial" w:hAnsi="Arial"/>
          <w:color w:val="1A1A1A"/>
          <w:sz w:val="22"/>
          <w:szCs w:val="22"/>
        </w:rPr>
        <w:t xml:space="preserve">A standard EBRT course requires daily treatment sessions Monday through Friday over approximately 6 to 8 weeks. Each visit is designed to be efficient — from valet parking to completion of the radiation treatment itself, most sessions take roughly 30 minutes. The radiation delivery portion is painless and takes only a few minutes; the majority of visit time is preparation and positioning. While the daily commitment is meaningful, many men continue working and maintaining their normal routines throughout treatment.</w:t>
      </w:r>
    </w:p>
    <w:p>
      <w:pPr>
        <w:spacing w:after="120"/>
      </w:pPr>
    </w:p>
    <w:p>
      <w:pPr>
        <w:pStyle w:val="Heading2"/>
        <w:spacing w:after="120" w:before="280"/>
      </w:pPr>
      <w:r>
        <w:rPr>
          <w:rFonts w:ascii="Georgia" w:cs="Georgia" w:eastAsia="Georgia" w:hAnsi="Georgia"/>
          <w:b/>
          <w:bCs/>
          <w:color w:val="2E7D52"/>
          <w:sz w:val="28"/>
          <w:szCs w:val="28"/>
        </w:rPr>
        <w:t xml:space="preserve">Brachytherapy: LDR vs. HDR</w:t>
      </w:r>
    </w:p>
    <w:p>
      <w:pPr>
        <w:spacing w:after="160" w:line="340"/>
      </w:pPr>
      <w:r>
        <w:rPr>
          <w:rFonts w:ascii="Arial" w:cs="Arial" w:eastAsia="Arial" w:hAnsi="Arial"/>
          <w:color w:val="1A1A1A"/>
          <w:sz w:val="22"/>
          <w:szCs w:val="22"/>
        </w:rPr>
        <w:t xml:space="preserve">Brachytherapy delivers radiation from within the prostate itself, placing the radioactive source directly at the tumor site. There are two distinct approaches:</w:t>
      </w:r>
    </w:p>
    <w:p>
      <w:pPr>
        <w:pStyle w:val="ListParagraph"/>
        <w:numPr>
          <w:ilvl w:val="0"/>
          <w:numId w:val="2"/>
        </w:numPr>
        <w:spacing w:after="100"/>
      </w:pPr>
      <w:r>
        <w:rPr>
          <w:rFonts w:ascii="Arial" w:cs="Arial" w:eastAsia="Arial" w:hAnsi="Arial"/>
          <w:color w:val="1A1A1A"/>
          <w:sz w:val="22"/>
          <w:szCs w:val="22"/>
        </w:rPr>
        <w:t xml:space="preserve">Low Dose Rate (LDR) — Permanent Seed Implants</w:t>
      </w:r>
    </w:p>
    <w:p>
      <w:pPr>
        <w:spacing w:after="160" w:line="340"/>
      </w:pPr>
      <w:r>
        <w:rPr>
          <w:rFonts w:ascii="Arial" w:cs="Arial" w:eastAsia="Arial" w:hAnsi="Arial"/>
          <w:color w:val="1A1A1A"/>
          <w:sz w:val="22"/>
          <w:szCs w:val="22"/>
        </w:rPr>
        <w:t xml:space="preserve">In LDR brachytherapy, small radioactive seeds (typically Iodine-125 or Palladium-103) — roughly the size of a grain of rice — are permanently implanted into the prostate through a series of needles under ultrasound guidance. This is done as a single outpatient procedure under anesthesia. The seeds emit low-level radiation continuously over several months and then become inert, remaining in the prostate permanently. Recovery is rapid, with most men returning to normal activity within a few days.</w:t>
      </w:r>
    </w:p>
    <w:p>
      <w:pPr>
        <w:pStyle w:val="ListParagraph"/>
        <w:numPr>
          <w:ilvl w:val="0"/>
          <w:numId w:val="2"/>
        </w:numPr>
        <w:spacing w:after="100"/>
      </w:pPr>
      <w:r>
        <w:rPr>
          <w:rFonts w:ascii="Arial" w:cs="Arial" w:eastAsia="Arial" w:hAnsi="Arial"/>
          <w:color w:val="1A1A1A"/>
          <w:sz w:val="22"/>
          <w:szCs w:val="22"/>
        </w:rPr>
        <w:t xml:space="preserve">High Dose Rate (HDR) — Temporary Cannula-Based Radiation</w:t>
      </w:r>
    </w:p>
    <w:p>
      <w:pPr>
        <w:spacing w:after="160" w:line="340"/>
      </w:pPr>
      <w:r>
        <w:rPr>
          <w:rFonts w:ascii="Arial" w:cs="Arial" w:eastAsia="Arial" w:hAnsi="Arial"/>
          <w:color w:val="1A1A1A"/>
          <w:sz w:val="22"/>
          <w:szCs w:val="22"/>
        </w:rPr>
        <w:t xml:space="preserve">In HDR brachytherapy, thin flexible cannulas are temporarily placed into the prostate. A high-activity radioactive source is then remotely guided through each cannula to deliver a precise, concentrated dose of radiation over a matter of minutes. The cannulas are removed immediately after treatment — nothing is left in the body. HDR is typically delivered in one or two sessions, sometimes combined with external beam radiation for higher-risk disease.</w:t>
      </w:r>
    </w:p>
    <w:p>
      <w:pPr>
        <w:spacing w:after="120"/>
      </w:pPr>
    </w:p>
    <w:p>
      <w:pPr>
        <w:spacing w:after="160" w:line="340"/>
      </w:pPr>
      <w:r>
        <w:rPr>
          <w:rFonts w:ascii="Arial" w:cs="Arial" w:eastAsia="Arial" w:hAnsi="Arial"/>
          <w:color w:val="1A1A1A"/>
          <w:sz w:val="22"/>
          <w:szCs w:val="22"/>
        </w:rPr>
        <w:t xml:space="preserve">Side effects of radiation differ from surgery and include potential urinary irritation during treatment and bowel-related effects. Long-term urinary side effects typically involve irritative voiding symptoms such as urinary frequency, urgency, or nocturia — rather than the stress incontinence more commonly associated with surgery. Regarding erectile function, long-term ED rates following radiation therapy are roughly in the same ballpark as those seen after surgery — a point worth understanding when comparing treatment options. Your radiation oncologist will review all of these in detail during your consultation.</w:t>
      </w:r>
    </w:p>
    <w:p>
      <w:pPr>
        <w:spacing w:after="120"/>
      </w:pPr>
    </w:p>
    <w:p>
      <w:pPr>
        <w:pStyle w:val="Heading2"/>
        <w:spacing w:after="120" w:before="280"/>
      </w:pPr>
      <w:r>
        <w:rPr>
          <w:rFonts w:ascii="Georgia" w:cs="Georgia" w:eastAsia="Georgia" w:hAnsi="Georgia"/>
          <w:b/>
          <w:bCs/>
          <w:color w:val="2E7D52"/>
          <w:sz w:val="28"/>
          <w:szCs w:val="28"/>
        </w:rPr>
        <w:t xml:space="preserve">Androgen Deprivation Therapy (ADT)</w:t>
      </w:r>
    </w:p>
    <w:p>
      <w:pPr>
        <w:spacing w:after="160" w:line="340"/>
      </w:pPr>
      <w:r>
        <w:rPr>
          <w:rFonts w:ascii="Arial" w:cs="Arial" w:eastAsia="Arial" w:hAnsi="Arial"/>
          <w:color w:val="1A1A1A"/>
          <w:sz w:val="22"/>
          <w:szCs w:val="22"/>
        </w:rPr>
        <w:t xml:space="preserve">Androgen deprivation therapy — also called hormonal therapy — works by reducing the body's level of testosterone, which prostate cancer cells depend on to grow. ADT is not typically used alone as a curative treatment, but it plays an important role in combination with radiation therapy for intermediate- and high-risk disease, and in the management of advanced or metastatic prostate cancer.</w:t>
      </w:r>
    </w:p>
    <w:p>
      <w:pPr>
        <w:spacing w:after="160" w:line="340"/>
      </w:pPr>
      <w:r>
        <w:rPr>
          <w:rFonts w:ascii="Arial" w:cs="Arial" w:eastAsia="Arial" w:hAnsi="Arial"/>
          <w:color w:val="1A1A1A"/>
          <w:sz w:val="22"/>
          <w:szCs w:val="22"/>
        </w:rPr>
        <w:t xml:space="preserve">The decision to add ADT to a treatment plan involves a careful weighing of its proven cancer control benefits against a meaningful side effect profile:</w:t>
      </w:r>
    </w:p>
    <w:p>
      <w:pPr>
        <w:pStyle w:val="ListParagraph"/>
        <w:numPr>
          <w:ilvl w:val="0"/>
          <w:numId w:val="2"/>
        </w:numPr>
        <w:spacing w:after="100"/>
      </w:pPr>
      <w:r>
        <w:rPr>
          <w:rFonts w:ascii="Arial" w:cs="Arial" w:eastAsia="Arial" w:hAnsi="Arial"/>
          <w:color w:val="1A1A1A"/>
          <w:sz w:val="22"/>
          <w:szCs w:val="22"/>
        </w:rPr>
        <w:t xml:space="preserve">Potential benefits: ADT combined with radiation has been shown in large clinical trials to improve cancer-specific survival and reduce the risk of metastasis in intermediate- and high-risk disease. The duration of ADT — ranging from 4 to 6 months for lower-risk cases to 18 to 36 months for higher-risk disease — is tailored to the individual.</w:t>
      </w:r>
    </w:p>
    <w:p>
      <w:pPr>
        <w:pStyle w:val="ListParagraph"/>
        <w:numPr>
          <w:ilvl w:val="0"/>
          <w:numId w:val="2"/>
        </w:numPr>
        <w:spacing w:after="100"/>
      </w:pPr>
      <w:r>
        <w:rPr>
          <w:rFonts w:ascii="Arial" w:cs="Arial" w:eastAsia="Arial" w:hAnsi="Arial"/>
          <w:color w:val="1A1A1A"/>
          <w:sz w:val="22"/>
          <w:szCs w:val="22"/>
        </w:rPr>
        <w:t xml:space="preserve">Side effects to consider: ADT reduces testosterone, which affects multiple body systems. Common side effects include hot flashes, fatigue, decreased libido, erectile dysfunction, loss of muscle mass, weight gain, and mood changes. With longer durations, bone density loss and an increased risk of metabolic syndrome and cardiovascular effects become relevant considerations.</w:t>
      </w:r>
    </w:p>
    <w:p>
      <w:pPr>
        <w:spacing w:after="160" w:line="340"/>
      </w:pPr>
      <w:r>
        <w:rPr>
          <w:rFonts w:ascii="Arial" w:cs="Arial" w:eastAsia="Arial" w:hAnsi="Arial"/>
          <w:color w:val="1A1A1A"/>
          <w:sz w:val="22"/>
          <w:szCs w:val="22"/>
        </w:rPr>
        <w:t xml:space="preserve">Not every man requires ADT, and the threshold for recommending it is based on your specific risk category and treatment approach. When it is indicated, the benefits on cancer outcomes have been clearly established. We will discuss whether ADT is part of your plan, for how long, and how to best manage its side effects if it is.</w:t>
      </w:r>
    </w:p>
    <w:p>
      <w:pPr>
        <w:spacing w:after="200"/>
      </w:pPr>
    </w:p>
    <w:p>
      <w:pPr>
        <w:pStyle w:val="Heading1"/>
        <w:pBdr>
          <w:bottom w:val="single" w:color="1D5C3A" w:sz="10" w:space="4"/>
        </w:pBdr>
        <w:spacing w:after="180" w:before="400"/>
      </w:pPr>
      <w:r>
        <w:rPr>
          <w:rFonts w:ascii="Georgia" w:cs="Georgia" w:eastAsia="Georgia" w:hAnsi="Georgia"/>
          <w:b/>
          <w:bCs/>
          <w:color w:val="1D5C3A"/>
          <w:sz w:val="36"/>
          <w:szCs w:val="36"/>
        </w:rPr>
        <w:t xml:space="preserve">Section 8: Further Staging &amp; Biomarkers</w:t>
      </w:r>
    </w:p>
    <w:p>
      <w:pPr>
        <w:spacing w:after="160" w:line="340"/>
      </w:pPr>
      <w:r>
        <w:rPr>
          <w:rFonts w:ascii="Arial" w:cs="Arial" w:eastAsia="Arial" w:hAnsi="Arial"/>
          <w:color w:val="1A1A1A"/>
          <w:sz w:val="22"/>
          <w:szCs w:val="22"/>
        </w:rPr>
        <w:t xml:space="preserve">In addition to biopsy findings, PSA, and MRI, additional tests may be used to better characterize your cancer, assess its extent, and guide treatment decisions. These fall into two broad categories: imaging for staging and tissue-based biomarker testing.</w:t>
      </w:r>
    </w:p>
    <w:p>
      <w:pPr>
        <w:spacing w:after="80"/>
      </w:pPr>
    </w:p>
    <w:p>
      <w:pPr>
        <w:pStyle w:val="Heading2"/>
        <w:spacing w:after="120" w:before="280"/>
      </w:pPr>
      <w:r>
        <w:rPr>
          <w:rFonts w:ascii="Georgia" w:cs="Georgia" w:eastAsia="Georgia" w:hAnsi="Georgia"/>
          <w:b/>
          <w:bCs/>
          <w:color w:val="2E7D52"/>
          <w:sz w:val="28"/>
          <w:szCs w:val="28"/>
        </w:rPr>
        <w:t xml:space="preserve">PSMA PET Scan — Advanced Staging Imaging</w:t>
      </w:r>
    </w:p>
    <w:p>
      <w:pPr>
        <w:spacing w:after="160" w:line="340"/>
      </w:pPr>
      <w:r>
        <w:rPr>
          <w:rFonts w:ascii="Arial" w:cs="Arial" w:eastAsia="Arial" w:hAnsi="Arial"/>
          <w:color w:val="1A1A1A"/>
          <w:sz w:val="22"/>
          <w:szCs w:val="22"/>
        </w:rPr>
        <w:t xml:space="preserve">A PSMA (Prostate-Specific Membrane Antigen) PET scan is a highly sensitive nuclear medicine imaging study that can detect prostate cancer spread to lymph nodes or distant sites — sometimes finding disease invisible on conventional CT or bone scan.</w:t>
      </w:r>
    </w:p>
    <w:p>
      <w:pPr>
        <w:spacing w:after="160" w:line="340"/>
      </w:pPr>
      <w:r>
        <w:rPr>
          <w:rFonts w:ascii="Arial" w:cs="Arial" w:eastAsia="Arial" w:hAnsi="Arial"/>
          <w:color w:val="1A1A1A"/>
          <w:sz w:val="22"/>
          <w:szCs w:val="22"/>
        </w:rPr>
        <w:t xml:space="preserve">This test is increasingly used at diagnosis in intermediate- and high-risk disease, and is especially important for surgical planning and radiation field design. Two FDA-approved PSMA PET tracers are currently in use:</w:t>
      </w:r>
    </w:p>
    <w:p>
      <w:pPr>
        <w:pStyle w:val="ListParagraph"/>
        <w:numPr>
          <w:ilvl w:val="0"/>
          <w:numId w:val="2"/>
        </w:numPr>
        <w:spacing w:after="100"/>
      </w:pPr>
      <w:r>
        <w:rPr>
          <w:rFonts w:ascii="Arial" w:cs="Arial" w:eastAsia="Arial" w:hAnsi="Arial"/>
          <w:color w:val="1A1A1A"/>
          <w:sz w:val="22"/>
          <w:szCs w:val="22"/>
        </w:rPr>
        <w:t xml:space="preserve">Posluma (flotufolastat F-18)</w:t>
      </w:r>
    </w:p>
    <w:p>
      <w:pPr>
        <w:pStyle w:val="ListParagraph"/>
        <w:numPr>
          <w:ilvl w:val="0"/>
          <w:numId w:val="2"/>
        </w:numPr>
        <w:spacing w:after="100"/>
      </w:pPr>
      <w:r>
        <w:rPr>
          <w:rFonts w:ascii="Arial" w:cs="Arial" w:eastAsia="Arial" w:hAnsi="Arial"/>
          <w:color w:val="1A1A1A"/>
          <w:sz w:val="22"/>
          <w:szCs w:val="22"/>
        </w:rPr>
        <w:t xml:space="preserve">Pylarify (piflufolastat F-18)</w:t>
      </w:r>
    </w:p>
    <w:p>
      <w:pPr>
        <w:spacing w:after="160" w:line="340"/>
      </w:pPr>
      <w:r>
        <w:rPr>
          <w:rFonts w:ascii="Arial" w:cs="Arial" w:eastAsia="Arial" w:hAnsi="Arial"/>
          <w:color w:val="1A1A1A"/>
          <w:sz w:val="22"/>
          <w:szCs w:val="22"/>
        </w:rPr>
        <w:t xml:space="preserve">Your clinical team will determine whether a PSMA PET scan is appropriate for your situation and which agent is available at your imaging center.</w:t>
      </w:r>
    </w:p>
    <w:p>
      <w:pPr>
        <w:spacing w:after="120"/>
      </w:pPr>
    </w:p>
    <w:p>
      <w:pPr>
        <w:pStyle w:val="Heading2"/>
        <w:spacing w:after="120" w:before="280"/>
      </w:pPr>
      <w:r>
        <w:rPr>
          <w:rFonts w:ascii="Georgia" w:cs="Georgia" w:eastAsia="Georgia" w:hAnsi="Georgia"/>
          <w:b/>
          <w:bCs/>
          <w:color w:val="2E7D52"/>
          <w:sz w:val="28"/>
          <w:szCs w:val="28"/>
        </w:rPr>
        <w:t xml:space="preserve">Post-Biopsy Biomarker Testing</w:t>
      </w:r>
    </w:p>
    <w:p>
      <w:pPr>
        <w:spacing w:after="160" w:line="340"/>
      </w:pPr>
      <w:r>
        <w:rPr>
          <w:rFonts w:ascii="Arial" w:cs="Arial" w:eastAsia="Arial" w:hAnsi="Arial"/>
          <w:color w:val="1A1A1A"/>
          <w:sz w:val="22"/>
          <w:szCs w:val="22"/>
        </w:rPr>
        <w:t xml:space="preserve">Tissue-based biomarker tests analyze the specific genes expressed within your tumor to provide a more refined picture of cancer aggressiveness and likely behavior. These tests complement Gleason scoring and help guide the treat-vs.-watch decision, particularly in intermediate-risk cases.</w:t>
      </w:r>
    </w:p>
    <w:p>
      <w:pPr>
        <w:spacing w:after="160" w:line="340"/>
      </w:pPr>
      <w:r>
        <w:rPr>
          <w:rFonts w:ascii="Arial" w:cs="Arial" w:eastAsia="Arial" w:hAnsi="Arial"/>
          <w:color w:val="1A1A1A"/>
          <w:sz w:val="22"/>
          <w:szCs w:val="22"/>
        </w:rPr>
        <w:t xml:space="preserve">Commonly used and validated platforms include:</w:t>
      </w:r>
    </w:p>
    <w:p>
      <w:pPr>
        <w:pStyle w:val="ListParagraph"/>
        <w:numPr>
          <w:ilvl w:val="0"/>
          <w:numId w:val="2"/>
        </w:numPr>
        <w:spacing w:after="100"/>
      </w:pPr>
      <w:r>
        <w:rPr>
          <w:rFonts w:ascii="Arial" w:cs="Arial" w:eastAsia="Arial" w:hAnsi="Arial"/>
          <w:color w:val="1A1A1A"/>
          <w:sz w:val="22"/>
          <w:szCs w:val="22"/>
        </w:rPr>
        <w:t xml:space="preserve">Decipher — evaluates 22 RNA biomarkers to predict metastatic potential</w:t>
      </w:r>
    </w:p>
    <w:p>
      <w:pPr>
        <w:pStyle w:val="ListParagraph"/>
        <w:numPr>
          <w:ilvl w:val="0"/>
          <w:numId w:val="2"/>
        </w:numPr>
        <w:spacing w:after="100"/>
      </w:pPr>
      <w:r>
        <w:rPr>
          <w:rFonts w:ascii="Arial" w:cs="Arial" w:eastAsia="Arial" w:hAnsi="Arial"/>
          <w:color w:val="1A1A1A"/>
          <w:sz w:val="22"/>
          <w:szCs w:val="22"/>
        </w:rPr>
        <w:t xml:space="preserve">Prolaris — cell cycle gene expression test providing a cancer-specific mortality risk score</w:t>
      </w:r>
    </w:p>
    <w:p>
      <w:pPr>
        <w:pStyle w:val="ListParagraph"/>
        <w:numPr>
          <w:ilvl w:val="0"/>
          <w:numId w:val="2"/>
        </w:numPr>
        <w:spacing w:after="100"/>
      </w:pPr>
      <w:r>
        <w:rPr>
          <w:rFonts w:ascii="Arial" w:cs="Arial" w:eastAsia="Arial" w:hAnsi="Arial"/>
          <w:color w:val="1A1A1A"/>
          <w:sz w:val="22"/>
          <w:szCs w:val="22"/>
        </w:rPr>
        <w:t xml:space="preserve">OncotypeDX GPS — assesses likelihood of favorable pathology on radical prostatectomy</w:t>
      </w:r>
    </w:p>
    <w:p>
      <w:pPr>
        <w:pStyle w:val="ListParagraph"/>
        <w:numPr>
          <w:ilvl w:val="0"/>
          <w:numId w:val="2"/>
        </w:numPr>
        <w:spacing w:after="100"/>
      </w:pPr>
      <w:r>
        <w:rPr>
          <w:rFonts w:ascii="Arial" w:cs="Arial" w:eastAsia="Arial" w:hAnsi="Arial"/>
          <w:color w:val="1A1A1A"/>
          <w:sz w:val="22"/>
          <w:szCs w:val="22"/>
        </w:rPr>
        <w:t xml:space="preserve">Artera AI — an artificial intelligence-based platform using post-biopsy data to provide additional risk stratification beyond standard pathology</w:t>
      </w:r>
    </w:p>
    <w:p>
      <w:pPr>
        <w:spacing w:after="160" w:line="340"/>
      </w:pPr>
      <w:r>
        <w:rPr>
          <w:rFonts w:ascii="Arial" w:cs="Arial" w:eastAsia="Arial" w:hAnsi="Arial"/>
          <w:color w:val="1A1A1A"/>
          <w:sz w:val="22"/>
          <w:szCs w:val="22"/>
        </w:rPr>
        <w:t xml:space="preserve">Ask Dr. Kabra whether post-biopsy biomarker testing is appropriate for your case as part of a comprehensive risk stratification strategy.</w:t>
      </w:r>
    </w:p>
    <w:p>
      <w:pPr>
        <w:spacing w:after="200"/>
      </w:pPr>
    </w:p>
    <w:p>
      <w:pPr>
        <w:pStyle w:val="Heading1"/>
        <w:pBdr>
          <w:bottom w:val="single" w:color="1D5C3A" w:sz="10" w:space="4"/>
        </w:pBdr>
        <w:spacing w:after="180" w:before="400"/>
      </w:pPr>
      <w:r>
        <w:rPr>
          <w:rFonts w:ascii="Georgia" w:cs="Georgia" w:eastAsia="Georgia" w:hAnsi="Georgia"/>
          <w:b/>
          <w:bCs/>
          <w:color w:val="1D5C3A"/>
          <w:sz w:val="36"/>
          <w:szCs w:val="36"/>
        </w:rPr>
        <w:t xml:space="preserve">Section 9: Germline Genetic Testing &amp; Bone Health</w:t>
      </w:r>
    </w:p>
    <w:p>
      <w:pPr>
        <w:spacing w:after="80"/>
      </w:pPr>
    </w:p>
    <w:p>
      <w:pPr>
        <w:pStyle w:val="Heading2"/>
        <w:spacing w:after="120" w:before="280"/>
      </w:pPr>
      <w:r>
        <w:rPr>
          <w:rFonts w:ascii="Georgia" w:cs="Georgia" w:eastAsia="Georgia" w:hAnsi="Georgia"/>
          <w:b/>
          <w:bCs/>
          <w:color w:val="2E7D52"/>
          <w:sz w:val="28"/>
          <w:szCs w:val="28"/>
        </w:rPr>
        <w:t xml:space="preserve">Germline Genetic Testing</w:t>
      </w:r>
    </w:p>
    <w:p>
      <w:pPr>
        <w:spacing w:after="160" w:line="340"/>
      </w:pPr>
      <w:r>
        <w:rPr>
          <w:rFonts w:ascii="Arial" w:cs="Arial" w:eastAsia="Arial" w:hAnsi="Arial"/>
          <w:color w:val="1A1A1A"/>
          <w:sz w:val="22"/>
          <w:szCs w:val="22"/>
        </w:rPr>
        <w:t xml:space="preserve">In certain men with prostate cancer — particularly those with high-risk or metastatic disease, a significant family history of cancer (prostate, breast, ovarian, colorectal, or pancreatic), or those of Ashkenazi Jewish ancestry — germline genetic testing may be recommended.</w:t>
      </w:r>
    </w:p>
    <w:p>
      <w:pPr>
        <w:spacing w:after="160" w:line="340"/>
      </w:pPr>
      <w:r>
        <w:rPr>
          <w:rFonts w:ascii="Arial" w:cs="Arial" w:eastAsia="Arial" w:hAnsi="Arial"/>
          <w:color w:val="1A1A1A"/>
          <w:sz w:val="22"/>
          <w:szCs w:val="22"/>
        </w:rPr>
        <w:t xml:space="preserve">This involves a blood or saliva test to look for inherited mutations in genes such as BRCA1, BRCA2, ATM, CHEK2, or others in the homologous recombination repair pathway. Identifying such mutations can:</w:t>
      </w:r>
    </w:p>
    <w:p>
      <w:pPr>
        <w:pStyle w:val="ListParagraph"/>
        <w:numPr>
          <w:ilvl w:val="0"/>
          <w:numId w:val="2"/>
        </w:numPr>
        <w:spacing w:after="100"/>
      </w:pPr>
      <w:r>
        <w:rPr>
          <w:rFonts w:ascii="Arial" w:cs="Arial" w:eastAsia="Arial" w:hAnsi="Arial"/>
          <w:color w:val="1A1A1A"/>
          <w:sz w:val="22"/>
          <w:szCs w:val="22"/>
        </w:rPr>
        <w:t xml:space="preserve">Guide treatment decisions (some mutations predict benefit from specific targeted therapies such as PARP inhibitors)</w:t>
      </w:r>
    </w:p>
    <w:p>
      <w:pPr>
        <w:pStyle w:val="ListParagraph"/>
        <w:numPr>
          <w:ilvl w:val="0"/>
          <w:numId w:val="2"/>
        </w:numPr>
        <w:spacing w:after="100"/>
      </w:pPr>
      <w:r>
        <w:rPr>
          <w:rFonts w:ascii="Arial" w:cs="Arial" w:eastAsia="Arial" w:hAnsi="Arial"/>
          <w:color w:val="1A1A1A"/>
          <w:sz w:val="22"/>
          <w:szCs w:val="22"/>
        </w:rPr>
        <w:t xml:space="preserve">Inform family members who may themselves carry elevated cancer risk</w:t>
      </w:r>
    </w:p>
    <w:p>
      <w:pPr>
        <w:pStyle w:val="ListParagraph"/>
        <w:numPr>
          <w:ilvl w:val="0"/>
          <w:numId w:val="2"/>
        </w:numPr>
        <w:spacing w:after="100"/>
      </w:pPr>
      <w:r>
        <w:rPr>
          <w:rFonts w:ascii="Arial" w:cs="Arial" w:eastAsia="Arial" w:hAnsi="Arial"/>
          <w:color w:val="1A1A1A"/>
          <w:sz w:val="22"/>
          <w:szCs w:val="22"/>
        </w:rPr>
        <w:t xml:space="preserve">Affect eligibility for clinical trials</w:t>
      </w:r>
    </w:p>
    <w:p>
      <w:pPr>
        <w:spacing w:after="160" w:line="340"/>
      </w:pPr>
      <w:r>
        <w:rPr>
          <w:rFonts w:ascii="Arial" w:cs="Arial" w:eastAsia="Arial" w:hAnsi="Arial"/>
          <w:color w:val="1A1A1A"/>
          <w:sz w:val="22"/>
          <w:szCs w:val="22"/>
        </w:rPr>
        <w:t xml:space="preserve">We will discuss whether germline genetic testing is indicated for you at your visit.</w:t>
      </w:r>
    </w:p>
    <w:p>
      <w:pPr>
        <w:spacing w:after="120"/>
      </w:pPr>
    </w:p>
    <w:p>
      <w:pPr>
        <w:pStyle w:val="Heading2"/>
        <w:spacing w:after="120" w:before="280"/>
      </w:pPr>
      <w:r>
        <w:rPr>
          <w:rFonts w:ascii="Georgia" w:cs="Georgia" w:eastAsia="Georgia" w:hAnsi="Georgia"/>
          <w:b/>
          <w:bCs/>
          <w:color w:val="2E7D52"/>
          <w:sz w:val="28"/>
          <w:szCs w:val="28"/>
        </w:rPr>
        <w:t xml:space="preserve">Bone Health Considerations</w:t>
      </w:r>
    </w:p>
    <w:p>
      <w:pPr>
        <w:spacing w:after="160" w:line="340"/>
      </w:pPr>
      <w:r>
        <w:rPr>
          <w:rFonts w:ascii="Arial" w:cs="Arial" w:eastAsia="Arial" w:hAnsi="Arial"/>
          <w:color w:val="1A1A1A"/>
          <w:sz w:val="22"/>
          <w:szCs w:val="22"/>
        </w:rPr>
        <w:t xml:space="preserve">If your treatment plan includes androgen deprivation therapy (ADT) — hormonal therapy used in higher-risk or advanced disease — bone health becomes an important consideration. ADT can reduce bone mineral density and increase fracture risk over time.</w:t>
      </w:r>
    </w:p>
    <w:p>
      <w:pPr>
        <w:spacing w:after="160" w:line="340"/>
      </w:pPr>
      <w:r>
        <w:rPr>
          <w:rFonts w:ascii="Arial" w:cs="Arial" w:eastAsia="Arial" w:hAnsi="Arial"/>
          <w:color w:val="1A1A1A"/>
          <w:sz w:val="22"/>
          <w:szCs w:val="22"/>
        </w:rPr>
        <w:t xml:space="preserve">When applicable, we evaluate and monitor bone health through:</w:t>
      </w:r>
    </w:p>
    <w:p>
      <w:pPr>
        <w:pStyle w:val="ListParagraph"/>
        <w:numPr>
          <w:ilvl w:val="0"/>
          <w:numId w:val="2"/>
        </w:numPr>
        <w:spacing w:after="100"/>
      </w:pPr>
      <w:r>
        <w:rPr>
          <w:rFonts w:ascii="Arial" w:cs="Arial" w:eastAsia="Arial" w:hAnsi="Arial"/>
          <w:color w:val="1A1A1A"/>
          <w:sz w:val="22"/>
          <w:szCs w:val="22"/>
        </w:rPr>
        <w:t xml:space="preserve">Baseline DEXA scan to assess bone mineral density</w:t>
      </w:r>
    </w:p>
    <w:p>
      <w:pPr>
        <w:pStyle w:val="ListParagraph"/>
        <w:numPr>
          <w:ilvl w:val="0"/>
          <w:numId w:val="2"/>
        </w:numPr>
        <w:spacing w:after="100"/>
      </w:pPr>
      <w:r>
        <w:rPr>
          <w:rFonts w:ascii="Arial" w:cs="Arial" w:eastAsia="Arial" w:hAnsi="Arial"/>
          <w:color w:val="1A1A1A"/>
          <w:sz w:val="22"/>
          <w:szCs w:val="22"/>
        </w:rPr>
        <w:t xml:space="preserve">Calcium and Vitamin D supplementation guidance</w:t>
      </w:r>
    </w:p>
    <w:p>
      <w:pPr>
        <w:pStyle w:val="ListParagraph"/>
        <w:numPr>
          <w:ilvl w:val="0"/>
          <w:numId w:val="2"/>
        </w:numPr>
        <w:spacing w:after="100"/>
      </w:pPr>
      <w:r>
        <w:rPr>
          <w:rFonts w:ascii="Arial" w:cs="Arial" w:eastAsia="Arial" w:hAnsi="Arial"/>
          <w:color w:val="1A1A1A"/>
          <w:sz w:val="22"/>
          <w:szCs w:val="22"/>
        </w:rPr>
        <w:t xml:space="preserve">Bone-protective medications (bisphosphonates or denosumab) when indicated</w:t>
      </w:r>
    </w:p>
    <w:p>
      <w:pPr>
        <w:pStyle w:val="ListParagraph"/>
        <w:numPr>
          <w:ilvl w:val="0"/>
          <w:numId w:val="2"/>
        </w:numPr>
        <w:spacing w:after="100"/>
      </w:pPr>
      <w:r>
        <w:rPr>
          <w:rFonts w:ascii="Arial" w:cs="Arial" w:eastAsia="Arial" w:hAnsi="Arial"/>
          <w:color w:val="1A1A1A"/>
          <w:sz w:val="22"/>
          <w:szCs w:val="22"/>
        </w:rPr>
        <w:t xml:space="preserve">Coordination with your primary care provider or an endocrinologist as appropriate</w:t>
      </w:r>
    </w:p>
    <w:p>
      <w:pPr>
        <w:spacing w:after="60"/>
      </w:pPr>
    </w:p>
    <w:p>
      <w:pPr>
        <w:pStyle w:val="Heading1"/>
        <w:pBdr>
          <w:bottom w:val="single" w:color="1D5C3A" w:sz="10" w:space="4"/>
        </w:pBdr>
        <w:spacing w:after="180" w:before="400"/>
      </w:pPr>
      <w:r>
        <w:rPr>
          <w:rFonts w:ascii="Georgia" w:cs="Georgia" w:eastAsia="Georgia" w:hAnsi="Georgia"/>
          <w:b/>
          <w:bCs/>
          <w:color w:val="1D5C3A"/>
          <w:sz w:val="36"/>
          <w:szCs w:val="36"/>
        </w:rPr>
        <w:t xml:space="preserve">A Word on Emotional Support &amp; Social Counseling</w:t>
      </w:r>
    </w:p>
    <w:p>
      <w:pPr>
        <w:spacing w:after="160" w:line="340"/>
      </w:pPr>
      <w:r>
        <w:rPr>
          <w:rFonts w:ascii="Arial" w:cs="Arial" w:eastAsia="Arial" w:hAnsi="Arial"/>
          <w:color w:val="1A1A1A"/>
          <w:sz w:val="22"/>
          <w:szCs w:val="22"/>
        </w:rPr>
        <w:t xml:space="preserve">A prostate cancer diagnosis affects far more than just the physical body. It can bring anxiety, uncertainty, and significant emotional weight — not only for the man diagnosed, but for those who love and support him. Spouses, partners, and family members often carry their own fears and questions, and the entire support system benefits when those emotions are acknowledged and addressed.</w:t>
      </w:r>
    </w:p>
    <w:p>
      <w:pPr>
        <w:spacing w:after="160" w:line="340"/>
      </w:pPr>
      <w:r>
        <w:rPr>
          <w:rFonts w:ascii="Arial" w:cs="Arial" w:eastAsia="Arial" w:hAnsi="Arial"/>
          <w:color w:val="1A1A1A"/>
          <w:sz w:val="22"/>
          <w:szCs w:val="22"/>
        </w:rPr>
        <w:t xml:space="preserve">Research consistently shows that men who have strong emotional support and access to counseling during their cancer journey report better quality of life, greater satisfaction with their treatment decisions, and improved overall outcomes. There is real value in having a dedicated, compassionate space to process what you are going through — separate from the medical appointments and clinical decisions.</w:t>
      </w:r>
    </w:p>
    <w:p>
      <w:pPr>
        <w:spacing w:after="80"/>
      </w:pPr>
    </w:p>
    <w:p>
      <w:pPr>
        <w:pStyle w:val="Heading2"/>
        <w:spacing w:after="120" w:before="280"/>
      </w:pPr>
      <w:r>
        <w:rPr>
          <w:rFonts w:ascii="Georgia" w:cs="Georgia" w:eastAsia="Georgia" w:hAnsi="Georgia"/>
          <w:b/>
          <w:bCs/>
          <w:color w:val="2E7D52"/>
          <w:sz w:val="28"/>
          <w:szCs w:val="28"/>
        </w:rPr>
        <w:t xml:space="preserve">Social Counseling Support</w:t>
      </w:r>
    </w:p>
    <w:p>
      <w:pPr>
        <w:spacing w:after="160" w:line="340"/>
      </w:pPr>
      <w:r>
        <w:rPr>
          <w:rFonts w:ascii="Arial" w:cs="Arial" w:eastAsia="Arial" w:hAnsi="Arial"/>
          <w:color w:val="1A1A1A"/>
          <w:sz w:val="22"/>
          <w:szCs w:val="22"/>
        </w:rPr>
        <w:t xml:space="preserve">Our team has a social counselor available to patients and their families as a complimentary courtesy — she is happy to offer an initial call to anyone who could benefit from additional support during this journey. Please let Dr. Kabra's office know if you would like us to make that introduction.</w:t>
      </w:r>
    </w:p>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BB89A" w:sz="4"/>
              <w:left w:val="single" w:color="1D5C3A" w:sz="20"/>
              <w:bottom w:val="single" w:color="7BB89A" w:sz="4"/>
              <w:right w:val="single" w:color="7BB89A" w:sz="4"/>
            </w:tcBorders>
            <w:shd w:fill="D6EAE0" w:val="clear"/>
            <w:tcMar>
              <w:top w:type="dxa" w:w="160"/>
              <w:left w:type="dxa" w:w="280"/>
              <w:bottom w:type="dxa" w:w="160"/>
              <w:right w:type="dxa" w:w="240"/>
            </w:tcMar>
          </w:tcPr>
          <w:p>
            <w:pPr>
              <w:spacing w:after="80"/>
            </w:pPr>
            <w:r>
              <w:rPr>
                <w:rFonts w:ascii="Georgia" w:cs="Georgia" w:eastAsia="Georgia" w:hAnsi="Georgia"/>
                <w:b/>
                <w:bCs/>
                <w:color w:val="1D5C3A"/>
                <w:sz w:val="22"/>
                <w:szCs w:val="22"/>
              </w:rPr>
              <w:t xml:space="preserve">A Note on Next Steps</w:t>
            </w:r>
          </w:p>
          <w:p>
            <w:pPr>
              <w:spacing w:after="80"/>
            </w:pPr>
            <w:r>
              <w:rPr>
                <w:rFonts w:ascii="Arial" w:cs="Arial" w:eastAsia="Arial" w:hAnsi="Arial"/>
                <w:color w:val="1A1A1A"/>
                <w:sz w:val="20"/>
                <w:szCs w:val="20"/>
              </w:rPr>
              <w:t xml:space="preserve">This handbook is a starting point for our conversation — not the end of it.</w:t>
            </w:r>
          </w:p>
          <w:p>
            <w:pPr>
              <w:spacing w:after="80"/>
            </w:pPr>
            <w:r>
              <w:rPr>
                <w:rFonts w:ascii="Arial" w:cs="Arial" w:eastAsia="Arial" w:hAnsi="Arial"/>
                <w:color w:val="1A1A1A"/>
                <w:sz w:val="20"/>
                <w:szCs w:val="20"/>
              </w:rPr>
              <w:t xml:space="preserve">Every man's prostate cancer is unique, and your care plan will be built specifically around your pathology, your health, and your goals.</w:t>
            </w:r>
          </w:p>
          <w:p>
            <w:pPr>
              <w:spacing w:after="80"/>
            </w:pPr>
            <w:r>
              <w:rPr>
                <w:rFonts w:ascii="Arial" w:cs="Arial" w:eastAsia="Arial" w:hAnsi="Arial"/>
                <w:color w:val="1A1A1A"/>
                <w:sz w:val="20"/>
                <w:szCs w:val="20"/>
              </w:rPr>
              <w:t xml:space="preserve">Please write down any questions that come to mind as you read this and bring them to your next appointment.</w:t>
            </w:r>
          </w:p>
          <w:p>
            <w:pPr>
              <w:spacing w:after="80"/>
            </w:pPr>
            <w:r>
              <w:rPr>
                <w:rFonts w:ascii="Arial" w:cs="Arial" w:eastAsia="Arial" w:hAnsi="Arial"/>
                <w:color w:val="1A1A1A"/>
                <w:sz w:val="20"/>
                <w:szCs w:val="20"/>
              </w:rPr>
              <w:t xml:space="preserve">Dr. Kabra and the care team are here to support you every step of the way.</w:t>
            </w:r>
          </w:p>
        </w:tc>
      </w:tr>
    </w:tbl>
    <w:p>
      <w:pPr>
        <w:spacing w:after="80"/>
      </w:pPr>
    </w:p>
    <w:p>
      <w:pPr>
        <w:spacing w:after="80"/>
        <w:jc w:val="center"/>
      </w:pPr>
      <w:r>
        <w:rPr>
          <w:rFonts w:ascii="Georgia" w:cs="Georgia" w:eastAsia="Georgia" w:hAnsi="Georgia"/>
          <w:i/>
          <w:iCs/>
          <w:color w:val="555555"/>
          <w:sz w:val="20"/>
          <w:szCs w:val="20"/>
        </w:rPr>
        <w:t xml:space="preserve">— End of Handbook —</w:t>
      </w:r>
    </w:p>
    <w:sectPr>
      <w:headerReference w:type="default" r:id="rId7"/>
      <w:footerReference w:type="default" r:id="rId8"/>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D5C3A" w:sz="6" w:space="4"/>
      </w:pBdr>
      <w:spacing w:before="80"/>
      <w:jc w:val="center"/>
    </w:pPr>
    <w:r>
      <w:rPr>
        <w:rFonts w:ascii="Arial" w:cs="Arial" w:eastAsia="Arial" w:hAnsi="Arial"/>
        <w:color w:val="555555"/>
        <w:sz w:val="18"/>
        <w:szCs w:val="18"/>
      </w:rPr>
      <w:t xml:space="preserve">Page </w:t>
    </w:r>
    <w:r>
      <w:rPr>
        <w:rFonts w:ascii="Arial" w:cs="Arial" w:eastAsia="Arial" w:hAnsi="Arial"/>
        <w:color w:val="555555"/>
        <w:sz w:val="18"/>
        <w:szCs w:val="18"/>
      </w:rPr>
      <w:fldChar w:fldCharType="begin"/>
      <w:instrText xml:space="preserve">PAGE</w:instrText>
      <w:fldChar w:fldCharType="separate"/>
      <w:fldChar w:fldCharType="end"/>
    </w:r>
    <w:r>
      <w:rPr>
        <w:rFonts w:ascii="Arial" w:cs="Arial" w:eastAsia="Arial" w:hAnsi="Arial"/>
        <w:i/>
        <w:iCs/>
        <w:color w:val="555555"/>
        <w:sz w:val="16"/>
        <w:szCs w:val="16"/>
      </w:rPr>
      <w:t xml:space="preserve">  |  This handbook supplements, but does not replace, personalized physician guidance.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D5C3A" w:sz="6" w:space="4"/>
      </w:pBdr>
      <w:spacing w:after="80"/>
    </w:pPr>
    <w:r>
      <w:rPr>
        <w:rFonts w:ascii="Arial" w:cs="Arial" w:eastAsia="Arial" w:hAnsi="Arial"/>
        <w:color w:val="2E7D52"/>
        <w:sz w:val="18"/>
        <w:szCs w:val="18"/>
      </w:rPr>
      <w:t xml:space="preserve">Rocky Mountain Urology Center  |  Dr. Aashish Kabra</w:t>
    </w:r>
    <w:r>
      <w:rPr>
        <w:rFonts w:ascii="Arial" w:cs="Arial" w:eastAsia="Arial" w:hAnsi="Arial"/>
        <w:i/>
        <w:iCs/>
        <w:color w:val="555555"/>
        <w:sz w:val="18"/>
        <w:szCs w:val="18"/>
      </w:rPr>
      <w:t xml:space="preserve">          Prostate Cancer Handbook — For Patient Use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400"/>
      <w:outlineLvl w:val="0"/>
    </w:pPr>
    <w:rPr>
      <w:rFonts w:ascii="Georgia" w:cs="Georgia" w:eastAsia="Georgia" w:hAnsi="Georgia"/>
      <w:b/>
      <w:bCs/>
      <w:color w:val="1D5C3A"/>
      <w:sz w:val="36"/>
      <w:szCs w:val="36"/>
    </w:rPr>
  </w:style>
  <w:style w:type="paragraph" w:styleId="Heading2">
    <w:name w:val="Heading 2"/>
    <w:basedOn w:val="Normal"/>
    <w:next w:val="Normal"/>
    <w:qFormat/>
    <w:pPr>
      <w:spacing w:after="120" w:before="280"/>
      <w:outlineLvl w:val="1"/>
    </w:pPr>
    <w:rPr>
      <w:rFonts w:ascii="Georgia" w:cs="Georgia" w:eastAsia="Georgia" w:hAnsi="Georgia"/>
      <w:b/>
      <w:bCs/>
      <w:color w:val="2E7D52"/>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5ea2ab1ae497f29efbd32a59d5b649c7595e6c77.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2026-06-24T16:47:16.215Z</dcterms:created>
  <dcterms:modified xsi:type="dcterms:W3CDTF">2026-06-24T16:47:16.216Z</dcterms:modified>
</cp:coreProperties>
</file>

<file path=docProps/custom.xml><?xml version="1.0" encoding="utf-8"?>
<Properties xmlns="http://schemas.openxmlformats.org/officeDocument/2006/custom-properties" xmlns:vt="http://schemas.openxmlformats.org/officeDocument/2006/docPropsVTypes"/>
</file>